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4A_465/2020 vom 16. Februar 2021</w:t>
      </w:r>
    </w:p>
    <w:p>
      <w:r>
        <w:t>Bundesgericht, 2021-02-16, DE</w:t>
      </w:r>
    </w:p>
    <w:p>
      <w:r>
        <w:rPr>
          <w:b/>
        </w:rPr>
        <w:t xml:space="preserve">Quelle: </w:t>
      </w:r>
      <w:r>
        <w:t>https://mcp.opencaselaw.ch/entscheid/bger_4A_465_2020</w:t>
      </w:r>
    </w:p>
    <w:p>
      <w:r>
        <w:t>FR: TF 4A_465/2020 du 16 février 2021</w:t>
      </w:r>
    </w:p>
    <w:p>
      <w:r>
        <w:t>IT: TF 4A_465/2020 del 16 febbraio 2021</w:t>
      </w:r>
    </w:p>
    <w:p>
      <w:pPr>
        <w:pStyle w:val="Heading2"/>
      </w:pPr>
      <w:r>
        <w:t>Erwägungen</w:t>
      </w:r>
    </w:p>
    <w:p>
      <w:r>
        <w:rPr>
          <w:b/>
        </w:rPr>
        <w:t>E. 1</w:t>
      </w:r>
    </w:p>
    <w:p>
      <w:r>
        <w:t>Das Bundesgericht prüft von Amtes wegen und mit freier Kognition, ob ein Rechtsmittel zulässig ist ( Art. 29 Abs. 1 BGG ; BGE 143 III 140 E. 1 S. 143; 141 III 395 E. 2.1 S. 397).</w:t>
      </w:r>
    </w:p>
    <w:p>
      <w:r>
        <w:rPr>
          <w:b/>
        </w:rPr>
        <w:t>E. 1.1</w:t>
      </w:r>
    </w:p>
    <w:p>
      <w:r>
        <w:t>Die Beschwerde betrifft eine Zivilsache ( Art. 72 BGG ) und richtet sich gegen den Endentscheid ( Art. 90 BGG ) eines oberen kantonalen Gerichts, das als Rechtsmittelinstanz entschieden hat ( Art. 75 BGG ). Die Beschwerdeführer sind mit ihren Anträgen unterlegen ( Art. 76 BGG ), der Streitwert ist erreicht ( Art. 74 Abs. 1 lit. b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 in ihrer Replik darüber hinausgehen, können ihre Ausführungen nicht berücksichtigt werden.</w:t>
      </w:r>
    </w:p>
    <w:p>
      <w:r>
        <w:rPr>
          <w:b/>
        </w:rPr>
        <w:t>E. 1.5</w:t>
      </w:r>
    </w:p>
    <w:p>
      <w:r>
        <w:t>Die Beschwerdeschrift genügt den erwähnten Anforderungen in verschiedener Hinsicht nicht. So verweisen die Beschwerdeführer im Zusammenhang mit der von der Vorinstanz als zulässig erachteten Klageänderung (zeitliche Ausdehnung bis 31. März 2019) etwa lediglich auf ihre Ausführungen in der Berufungsantwort vom 26. August 2019. Unzulässig sind zudem die blossen Verweise der Beschwerdeführer auf ihre Ausführungen in ihrer Berufung vom 28. Oktober 2014. Damit stösst auch der nicht weiter begründete Einwand ins Leere, die Beschwerdeführer hätten nicht zu einer Leistung verpflichtet werden dürfen, mit der sie gegenüber Dritten vertragsbrüchig würden oder Gesetze verletzten.</w:t>
      </w:r>
    </w:p>
    <w:p>
      <w:r>
        <w:t>Die Ausführungen in der Beschwerdeschrift erschöpfen sich zudem über weite Strecken in unzulässiger appellatorischer Kritik am angefochtenen Entscheid, indem sie die Eigenschaften und Unterschiede von T.________ Spray und U.________ Gel aus eigener Sicht darstellen und aus dem von der Erstinstanz in Auftrag gegebenen Gutachten vom angefochtenen Entscheid abweichende Schlüsse ziehen. Sie behaupten dabei mitunter, die Vorinstanz habe das Gerichtsgutachten falsch wiedergegeben bzw. falsch verstanden und habe die Antwort der Gutachter auf die gestellte Expertenfrage ignoriert, zeigen jedoch nicht hinreichend auf, inwiefern die Vorinstanz mit ihrer Beweiswürdigung Bundesrecht verletzt haben soll. Sie führen im Zusammenhang mit der vorinstanzlichen Würdigung des Gerichtsgutachtens zwar Art. 9 BV ins Feld, zeigen jedoch nicht hinreichend auf, inwiefern der Vorinstanz eine Verletzung dieser Verfassungsbestimmung vorzuwerfen wäre. Soweit sie im Zusammenhang mit dem Gutachten vorbringen, die Vorinstanz hätte nicht einfach ihr eigenes Ermessen anstelle desjenigen der Erstinstanz setzen dürfen, wird nicht klar, um welche Ermessensausübung (vgl. Art. 4 ZGB ) es sich konkret handeln soll; abgesehen davon konnte die Vorinstanz den Rechtsstreit im Rahmen des Berufungsverfahrens in rechtlicher und tatsächlicher Hinsicht frei überprüfen ( Art. 310 ZPO ). Ausserdem behaupten die Beschwerdeführer verschiedentlich, der Beschwerdegegner habe von der Entwicklung von U.________ Gel und der entsprechenden Patentanmeldung im Jahre 2003 keinerlei Kenntnis gehabt, ohne dass sich diese Behauptung zum angeblichen Wissen des Beschwerdegegners im Zeitpunkt des Vertragsschlusses auf die tatsächlichen Feststellungen im angefochtenen Entscheid stützen liesse. Damit sind sie ebenfalls nicht zu hören.</w:t>
      </w:r>
    </w:p>
    <w:p>
      <w:r>
        <w:t>Im Weiteren verfehlen die Beschwerdeführer die gesetzlichen Begründungsanforderungen, indem sie sich mit der blossen Behauptung begnügen, Dispositiv-Ziffer 2 des angefochtenen Entscheids sei nicht vollstreckbar und verstosse gegen das Bestimmtheitsgebot, ohne dies weiter auszuführen.</w:t>
      </w:r>
    </w:p>
    <w:p>
      <w:r>
        <w:rPr>
          <w:b/>
        </w:rPr>
        <w:t>E. 2</w:t>
      </w:r>
    </w:p>
    <w:p>
      <w:r>
        <w:t>Die Beschwerdeführer bringen vor, die Vorinstanz hätte auf die Berufung des Beschwerdegegners gegen das Urteil des Kantonsgerichts Nidwalden vom 8. März 2019 (ZE 16 73) gar nicht eintreten dürfen.</w:t>
      </w:r>
    </w:p>
    <w:p>
      <w:r>
        <w:rPr>
          <w:b/>
        </w:rPr>
        <w:t>E. 2.1</w:t>
      </w:r>
    </w:p>
    <w:p>
      <w:r>
        <w:t>Sie führen unter Berufung auf BGE 143 III 290 aus, der Beschwerdegegner hätte gegen den Rückweisungsentscheid der Vorinstanz vom 24. November 2015 nur ein direktes Rechtsmittel an das Bundesgericht erheben dürfen, wobei die Beschwerdefrist gegen den erstinstanzlichen Endentscheid, der im Nachgang zum Rückweisungsentscheid erging, hätte eingehalten werden müssen. Dies sei nicht geschehen.</w:t>
      </w:r>
    </w:p>
    <w:p>
      <w:r>
        <w:rPr>
          <w:b/>
        </w:rPr>
        <w:t>E. 2.2</w:t>
      </w:r>
    </w:p>
    <w:p>
      <w:r>
        <w:t>Den Beschwerdeführern kann nicht gefolgt werden. Das Bundesgericht hat zwar die Möglichkeit bejaht, unter bestimmten Umständen ausnahmsweise einen obergerichtlichen Rückweisungsentscheid als Vor- und Zwischenentscheid im Anschluss an den erstinstanzlichen Endentscheid durch eine direkt gegen den Letzteren gerichtete Beschwerde beim Bundesgericht anzufechten ( BGE 145 III 42 E. 2.2.1; 143 III 290 E. 1.5). Es hat jedoch klargestellt, dass selbst wenn die Voraussetzungen der direkten Anfechtbarkeit erfüllt sind, keine Verpflichtung zur Anfechtung eines obergerichtlichen Rückweisungsentscheids durch direkte Beschwerde beim Bundesgericht gegen den nachfolgenden erstinstanzlichen Endentscheid besteht ( BGE 145 III 42 E. 2.1 und 2.2). Entgegen der in der Beschwerde vertretenen Ansicht lässt sich demnach aus dem Umstand, dass keine direkte Anfechtung erfolgte, von vornherein nichts zu Gunsten der Beschwerdeführer ableiten.</w:t>
      </w:r>
    </w:p>
    <w:p>
      <w:r>
        <w:t>Abgesehen davon trifft nicht zu, dass der Beschwerdegegner mit seiner Berufung vom 3. Juni 2019 einzig die Erwägungen im Rückweisungsentscheid vom 24. November 2015 (ZA 14 17) angefochten hatte, wie in der Beschwerde behauptet. Aus den Feststellungen im angefochtenen Entscheid zum Prozesssachverhalt ergibt sich vielmehr, dass der Beschwerdegegner dem Kantonsgericht unter anderem vorwarf, den Rückweisungsentscheid des Obergerichts im Zusammenhang mit dem Produkteprojekt bzw. dem Produkt "S.________" missachtet zu haben. Der in der Beschwerde erhobene Einwand, die Vorinstanz hätte auf die Berufung nicht eintreten dürfen, stösst bereits aus diesem Grund ins Leere.</w:t>
      </w:r>
    </w:p>
    <w:p>
      <w:r>
        <w:rPr>
          <w:b/>
        </w:rPr>
        <w:t>E. 3</w:t>
      </w:r>
    </w:p>
    <w:p>
      <w:r>
        <w:t>Bezüglich der Feststellung in Dispositiv-Ziffer 3 des angefochtenen Entscheids, dass Dispositiv-Ziffer 4 des Urteils des Kantonsgerichts Nidwalden vom 6. Mai 2014 (ZE 12 159) in Rechtskraft erwachsen sei, vermögen die Beschwerdeführer keine Bundesrechtsverletzung aufzuzeigen. Die Vorinstanz hat nachvollziehbar begründet, weshalb sie die Klarstellung in ihren Urteilsspruch aufnahm, nachdem das Kantonsgericht mit Urteil vom 8. März 2019 (ZE 16 73) die Klage ohne Differenzierung zwischen T.________ und S.________ abgewiesen hatte, obwohl es die Klage mit Bezug auf S.________ mit Urteil vom 6. Mai 2014 (ZE 12 159) in Dispositiv-Ziffer 4 noch gutgeheissen hatte und dieser Teil des Urteilsspruchs in der Folge rechtskräftig geworden war.</w:t>
      </w:r>
    </w:p>
    <w:p>
      <w:r>
        <w:t>Die Beschwerdeführer stellen nicht etwa in Frage, dass die Klagegutheissung bezüglich S.________ in Rechtskraft erwachsen ist, sondern berufen sich selber auf die</w:t>
      </w:r>
    </w:p>
    <w:p>
      <w:r>
        <w:t>res iudicata -Wirkung von Dispositiv-Ziffer 4 des kantonsgerichtlichen Urteils vom 6. Mai 2014 (ZE 12 159). Entgegen dem, was sie anzunehmen scheinen, stand diese der blossen Klarstellung in Dispositiv-Ziffer 3 des angefochtenen Entscheids nicht entgegen. Die Vorinstanz hat zudem zutreffend darauf hingewiesen, dass der Dispositionsgrundsatz ( Art. 58 Abs. 1 ZPO ) es dem Gericht nicht verbiete, den eigentlichen Sinn des Rechtsbegehrens zu ermitteln und dessen Zulässigkeit danach und nicht nach dem unzutreffenden Wortlaut zu beurteilen (Urteile 5A_592/2018 vom 13. Februar 2019 E. 2.3; 5A_369/2016 vom 27. Januar 2017 E. 5.4; 5A_657/2014 vom 27. April 2015 E. 8.1). Inwiefern die Vorinstanz mit der erfolgten Auslegung bundesrechtliche Grundsätze verletzt hätte, vermögen die Beschwerdeführer nicht konkret aufzuzeigen. Abgesehen davon bleibt unklar, worin das Rechtsschutzinteresse der Beschwerdeführer an einer Aufhebung von Dispositiv-Ziffer 3 des angefochtenen Entscheids bestehen soll, zumal sie selber nicht bestreiten, dass Dispositiv-Ziffer 4 des kantonsgerichtlichen Urteils vom 6. Mai 2014 (ZE 12 159) in Rechtskraft erwachsen ist. Sie behaupten lediglich in allgemeiner Weise Auswirkungen auf die Kosten- und Entschädigungsfolgen; solche dürften jedoch vernachlässigbar sein.</w:t>
      </w:r>
    </w:p>
    <w:p>
      <w:r>
        <w:rPr>
          <w:b/>
        </w:rPr>
        <w:t>E. 4</w:t>
      </w:r>
    </w:p>
    <w:p>
      <w:r>
        <w:t>Die Beschwerdeführer werfen der Vorinstanz im Zusammenhang mit der Würdigung des Gerichtsgutachtens zu Unrecht eine Verletzung des Willkürverbots ( Art. 9 BV ) sowie des Rechts auf Gegenbeweis ( Art. 8 ZGB ) bzw. eine offensichtlich unrichtige Feststellung des Sachverhalts vor.</w:t>
      </w:r>
    </w:p>
    <w:p>
      <w:r>
        <w:t>Die Vorinstanz hat in der Entscheidbegründung eingehend dargelegt, weshalb sie nicht unbesehen auf die Antwort der Experten im Gutachten abgestellt hat. So hat sie nach einer vertieften Auseinandersetzung mit der nach den abgeschlossenen Vereinbarungen massgebenden Identität der Produkte bzw. Projekte und der Präzisierung, auf welche Identität es im zu beurteilenden Fall ankommt, erwogen, der Schluss des Gutachtens, dass T.________ Spray und U.________/ V.________ Gel "nicht identisch" seien, betreffe vorerst nur die sog. synchrone Identität. Indem sich die Vereinbarung vom 5. April 2004 auf ein dynamisches Produkteprojekt, nicht aber auf ein statisches Produkt beziehe, sei jedoch nicht die synchrone Identität massgebend, sondern die sog. diachrone Identität. Ging die Vorinstanz somit davon aus, dass die Gutachter bei der Beantwortung der Expertenfrage auf ein für die Beurteilung der Streitsache nicht massgebendes Verständnis der Identität abstellten, hat sie folgerichtig darauf verzichtet, die im Gutachten gezogenen Schlüsse unbesehen zu übernehmen. Darin ist weder Willkür bzw. eine offensichtlich unrichtige Feststellung des Sachverhalts noch eine Verletzung des Rechts der Beschwerdeführer auf Gegenbeweis zu erblicken. Vielmehr ergibt sich dieser Schluss zwanglos aus der vorinstanzlichen Auslegung der abgeschlossenen Vereinbarungen.</w:t>
      </w:r>
    </w:p>
    <w:p>
      <w:r>
        <w:t>Die Beschwerdeführer verkennen in diesem Zusammenhang, dass es sich bei der vorinstanzlichen Auslegung, nach der die Parteien beim Abschluss der Vereinbarung vom 5. April 2004 und der Zusatzvereinbarung vom 4. Oktober 2004 unter dem Begriff "Produkteprojekt 'T.________'" sämtliche T.________-Formulierungen meinten, d.h. nicht nur das zu diesem Zeitpunkt bereits eingestellte, wässrige T.________ Spray, sondern auch das ölige T.________/U.________/ V.________ Gel, um eine subjektive Vertragsauslegung handelte. Diese beruht auf Beweiswürdigung, die der bundesgerichtlichen Überprüfung grundsätzlich entzogen ist ( BGE 144 III 93 E. 5.2.2; 142 III 239 E. 5.2.1 mit Hinweisen). Die Beschwerdeführer berufen sich zwar auf Art. 18 OR , vermögen eine Verletzung dieser Bestimmung jedoch nicht aufzuzeigen, sondern unterbreiten dem Bundesgericht lediglich in unzulässiger Weise ihre eigene Sicht der Dinge zum Wissen und Wollen der Parteien im Zeitpunkt des Vertragsabschlusses.</w:t>
      </w:r>
    </w:p>
    <w:p>
      <w:r>
        <w:rPr>
          <w:b/>
        </w:rPr>
        <w:t>E. 5</w:t>
      </w:r>
    </w:p>
    <w:p>
      <w:r>
        <w:t>Die Beschwerde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