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4A_465/2012 vom 10. Dezember 2012</w:t>
      </w:r>
    </w:p>
    <w:p>
      <w:r>
        <w:t>Bundesgericht, 2012-12-10, FR</w:t>
      </w:r>
    </w:p>
    <w:p>
      <w:r>
        <w:rPr>
          <w:b/>
        </w:rPr>
        <w:t xml:space="preserve">Quelle: </w:t>
      </w:r>
      <w:r>
        <w:t>https://mcp.opencaselaw.ch/entscheid/bger_4A_465_2012</w:t>
      </w:r>
    </w:p>
    <w:p>
      <w:r>
        <w:t>FR: TF 4A_465/2012 du 10 décembre 2012</w:t>
      </w:r>
    </w:p>
    <w:p>
      <w:r>
        <w:t>IT: TF 4A_465/2012 del 10 dicembre 2012</w:t>
      </w:r>
    </w:p>
    <w:p>
      <w:pPr>
        <w:pStyle w:val="Heading2"/>
      </w:pPr>
      <w:r>
        <w:t>Erwägungen</w:t>
      </w:r>
    </w:p>
    <w:p>
      <w:r>
        <w:rPr>
          <w:b/>
        </w:rPr>
        <w:t>E. 1</w:t>
      </w:r>
    </w:p>
    <w:p>
      <w:r>
        <w:t>Le Tribunal fédéral examine librement et d'office la recevabilité des recours dont il est saisi ( ATF 136 I 42 consid. 1 p. 43; 136 II 101 consid. 1 p. 103; 136 IV 46 consid. 1). Il convient d'examiner en premier lieu si le recours en matière civile ( art. 72 ss LTF ) est recevable.</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en principe recevable, puisqu'il a été déposé dans le délai (art. 48 al. 1 et 100 al. 1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 135 III 670 consid. 1.4 p. 674).</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 133 IV 286 consid. 1.4 et 6.2). Une rectification de l'état de fait ne peut d'ailleurs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En l'espèce, le recourant a réduit sa prétention fondée sur le tort moral qui était encore litigieuse devant la cour cantonale, ce qui est admissible, puisqu'il est toujours possible pour le demandeur de renoncer à une partie de ses prétentions (arrêts 4A_231/2010 du 10 août 2010 consid. 1.4 publié in SJ 2010 I p. 497; 4A_565/2009 du 21 janvier 2010 consid. 1.4).</w:t>
      </w:r>
    </w:p>
    <w:p>
      <w:r>
        <w:rPr>
          <w:b/>
        </w:rPr>
        <w:t>E. 2.1</w:t>
      </w:r>
    </w:p>
    <w:p>
      <w:r>
        <w:t>Les juges cantonaux ont considéré que le motif de congé allégué par l'intimée, à savoir la rupture des liens de confiance consécutive à divers manquements de l'employé, était réel. Ils ont également rappelé que le recourant ne faisait pas partie des personnes visées par la procédure de licenciement collectif, que, partant, les prestations prévues par le plan social ne lui étaient pas destinées et que le congé litigieux n'avait dès lors pas pour but de le priver de ces prestations.</w:t>
      </w:r>
    </w:p>
    <w:p>
      <w:r>
        <w:t>Le recourant soutient que le motif invoqué par l'employeuse n'était pas réel et qu'elle lui a notifié son congé afin d'éviter, dans son cas, d'appliquer le plan social qui avait été mis en ?uvre en faveur de ses collègues licenciés durant la même période pour raisons économiques.</w:t>
      </w:r>
    </w:p>
    <w:p>
      <w:r>
        <w:rPr>
          <w:b/>
        </w:rPr>
        <w:t>E. 2.2</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 art. 336 ss CO ). L' art. 336 al. 1 et 2 CO énumère des cas dans lesquels la résiliation est abusive. Cette liste n'est toutefois pas exhaustive et un abus du droit de mettre un terme au contrat de travail peut également se rencontrer dans d'autres situations, qui apparaissent comparables, par leur gravité, aux cas expressément envisagés à l' art. 336 CO ( ATF 136 III 513 consid. 2.3 p. 514 s.; 132 III 115 consid. 2.1 p. 116 s.; 131 III 535 consid. 4.1 et 4.2 p. 537 s.).</w:t>
      </w:r>
    </w:p>
    <w:p>
      <w:r>
        <w:t>Il appartient à la personne licenciée d'apporter la preuve du caractère abusif du congé ( ATF 130 III 699 consid. 4.1 p. 703; 123 III 246 consid. 4b p. 252 et les références).</w:t>
      </w:r>
    </w:p>
    <w:p>
      <w:r>
        <w:rPr>
          <w:b/>
        </w:rPr>
        <w:t>E. 2.3</w:t>
      </w:r>
    </w:p>
    <w:p>
      <w:r>
        <w:t>En l'espèce, le recourant ne tente pas de démontrer que le congé serait abusif pour un motif non énuméré dans la liste exemplative de l' art. 336 al. 1 et 2 CO . En particulier, il ne revient pas sur la motivation de la cour cantonale qui traite de la manière dont il a été licencié (arrêt entrepris consid. 4.2 p. 21 s.), étant rappelé que l'abus de la résiliation peut découler non seulement des motifs du congé, mais également de la façon dont la partie qui met fin au contrat exerce son droit (cf. ATF 136 III 513 consid. 2.3 p. 514).</w:t>
      </w:r>
    </w:p>
    <w:p>
      <w:r>
        <w:t>Le recourant se plaint de ce que l'intimée a voulu le priver des prestations prévues par le plan social qu'elle avait mis sur pied. Il se réfère ainsi à des prétentions auxquelles il aurait droit et, implicitement, renvoie aux let. c et d de l' art. 336 al. 1 CO . Il n'indique toutefois pas précisément laquelle des deux situations il entend viser.</w:t>
      </w:r>
    </w:p>
    <w:p>
      <w:r>
        <w:t>Il n'importe en l'espèce, puisque l'argumentation du recourant tombe à faux, que l'on se fonde sur l'un ou l'autre de ces motifs.</w:t>
      </w:r>
    </w:p>
    <w:p>
      <w:r>
        <w:t>Le recourant considère que la société intimée a voulu l'empêcher, par un congé-prétexte, d'intégrer la procédure de licenciement collectif et de bénéficier du plan social. Il est fort douteux que cette "construction" réalise les conditions d'application des let. c et d de l' art. 336 al. 1 CO . Il faut rappeler que, dans les deux cas de figure, les "prétentions" doivent découler du contrat de travail (sur l'ensemble de la question : cf. MARIE-GISÈLE ZOSS, La résiliation abusive du contrat de travail, thèse Lausanne 1997, p. 196 s. et p. 202 ss et les références citées); or, les prestations dont se prévaut le recourant sont prévues par un plan social qui ne repose pas sur le contrat de travail mais prend la forme d'une convention collective de travail particulière, voire d'un nouvel accord conclu entre les parties (pour les détails: RÉMY WYLER, Droit du travail, 2e éd. 2008, p. 483 ss). On voit en outre mal que le congé donné à l'employé ait pu "empêcher la naissance de prétentions juridiques" en sa faveur (cf. art. 336 al. 1 let . c CO), le licenciement collectif ayant déjà été prononcé (le 30 novembre 2009) lorsque le recourant a été licencié à son tour (le 18 décembre 2009). Enfin, le recourant n'a pas allégué qu'avant d'être licencié il aurait formulé vis-à-vis de l'employeuse une quelconque prétention en rapport avec le plan social (cf. art. 336 al. 1 let . d CO).</w:t>
      </w:r>
    </w:p>
    <w:p>
      <w:r>
        <w:t>Il n'est toutefois pas utile d'approfondir ces divers points, la prémisse de fait sur laquelle s'appuie le recourant (soit l'affirmation selon laquelle il était également concerné par la restructuration ayant conduit à la procédure de licenciement collectif) n'étant de toute façon pas avérée. Il résulte en effet clairement des constatations cantonales qu'étant donné qu'il "travaillait pour le compte du service informatique, [le recourant] ne faisait pas partie des personnes visées par la procédure de licenciement", celle-ci touchant "essentiellement les visiteurs médicaux sur le terrain". Le recourant soutient que ce constat est arbitraire ( art. 9 Cst. ), le plan social élaboré par la société intimée ayant été conçu de façon plus large, qu'il en était bénéficiaire et que rien ne permettait de réduire la portée de ce plan dans le but de l'en exclure.</w:t>
      </w:r>
    </w:p>
    <w:p>
      <w:r>
        <w:t>L'argumentation basée sur la portée du plan social est sans consistance. Le recourant n'entrait pas dans la catégorie des travailleurs touchés par le licenciement collectif et il n'était donc pas bénéficiaire de ce plan. Ce dernier document, présenté par le recourant lui-même, indique d'ailleurs bien, dans un résumé dépourvu de toute ambiguïté, que les employés concernés sont "donc les personnes dont le contrat à durée indéterminée est résilié le 30 novembre et qui sont aptes au travail à l'issue dudit contrat au sens de la Loi sur le chômage". Quand le recourant parle d'interprétation du plan social selon le principe de la confiance ( art. 18 CO ), d'égalité de traitement ( art. 8 Cst. en lien avec l' art. 328 CO ), d'abus de droit ( art. 2 al. 2 CC ) et d'application des normes sur le contrat de travail ( art. 319 ss CO , plus singulièrement l' art. 322 CO ), il vise exclusivement l'application de ce plan à ses bénéficiaires (auxquels il n'appartient pas). Toute discussion à ce sujet est donc vaine.</w:t>
      </w:r>
    </w:p>
    <w:p>
      <w:r>
        <w:t>A lui seul, le fait que le nombre de membres du help desk (dont le recourant faisait partie) soit passé de quatre en 2009, à deux en 2011, est impropre à démontrer que le recourant aurait été licencié, en 2009, pour cause de restructuration. Partant, il ne permet a fortiori pas de démontrer que la cour cantonale aurait arbitrairement retenu qu'en 2009 le secteur informatique (soit également le recourant) n'était pas concerné par la restructuration. Il n'est d'ailleurs pas contesté que les autres membres du service informatique licenciés à la même époque (sur la base du rapport de A.________) l'ont été en raison de divers manquements, et non pour des raisons économiques.</w:t>
      </w:r>
    </w:p>
    <w:p>
      <w:r>
        <w:t>On observera au demeurant, pour conclure sur ce point, qu'on voit mal pourquoi la société intimée aurait dû se fonder sur la "construction" présentée par le recourant pour écarter celui-ci des prestations offertes par le plan social. A cet égard, il faut rappeler que le droit suisse n'impose pas à l'employeur le paiement de prestations supplémentaires (sous la forme de plan social) autres que celles qui sont ordinairement prévues par le contrat de travail (entre autres auteurs: WYLER, op. cit., p. 481). Si l'employeur estimait n'avoir pas les moyens de s'acquitter d'un plan social pour des personnes supplémentaires (outre les vingt-quatre personnes touchées par les congés notifiés le 30 novembre 2009), il avait la possibilité d'atténuer les conséquences du licenciement avec un plan social plus modeste.</w:t>
      </w:r>
    </w:p>
    <w:p>
      <w:r>
        <w:t>Il s'ensuit que le recourant ne pouvait se prévaloir d'aucune prétention juridique en rapport avec le plan social, de sorte que l'hypothèse qu'il dénonce ne correspond pas aux situations visées par l' art. 336 al. 1 let . c et d CO. On ne saurait donc pas reprocher à la cour précédente d'avoir transgressé l' art. 336 al. 1 CO évoqué de façon générale par le recourant, ni d'ailleurs l' art. 2 al. 2 CC et l' art. 328 CO qu'il se limite à citer dans la même perspective dans le mémoire de recours.</w:t>
      </w:r>
    </w:p>
    <w:p>
      <w:r>
        <w:t>Les griefs tirés de l'arbitraire ( art. 9 Cst. ) évoqués par le recourant dans la première partie de son mémoire ont pour seul objectif de démontrer que le motif invoqué par la société intimée n'était qu'un prétexte destiné à éviter de lui faire bénéficier des prestations prévues par le plan social. Le congé n'ayant de toute manière pas fait obstacle d'une quelconque manière à une prétention (inexistante) au sens de l' art. 336 al. 1 let . c et d CO, il n'est pas nécessaire d'examiner les nombreux moyens soulevés par le recourant sous l'angle de l'arbitraire.</w:t>
      </w:r>
    </w:p>
    <w:p>
      <w:r>
        <w:rPr>
          <w:b/>
        </w:rPr>
        <w:t>E. 3.1</w:t>
      </w:r>
    </w:p>
    <w:p>
      <w:r>
        <w:t>Indépendamment de la notification du congé en tant que telle, la cour cantonale a examiné si le recourant avait subi des atteintes à sa personnalité dans le cadre des rapports de travail. Elle a écarté les atteintes alléguées par le recourant (agression prétendument physique, usage de surnoms, local dévalorisant mis à disposition, absence d'invitation à une formation en lien avec son travail). En rapport avec l'enquête menée pour étudier les dysfonctionnements au sein de la société, les magistrats précédents ont admis que l'intimée, en mandatant A.________ pour effectuer une enquête ponctuelle, a troublé la sphère privée du travailleur, en particulier en vérifiant ses messageries privée et professionnelle. Ils ont toutefois indiqué que cette atteinte était justifiée par le consentement du recourant, ainsi que par un intérêt prépondérant de la société intimée.</w:t>
      </w:r>
    </w:p>
    <w:p>
      <w:r>
        <w:t>Le recourant ne revient pas sur la plupart des atteintes alléguées en procédure cantonale. Il est par contre d'avis que c'est de manière arbitraire ( art. 9 Cst. ) que l'instance cantonale retient que les enquêteurs de A.________ ont pu se prévaloir de son consentement pour accéder à sa messagerie personnelle, autrement dit à sa boîte électronique privée, celui-ci n'ayant jamais été donné, même implicitement. Invoquant la transgression des art. 328, 328b CO , de l' art. 28 CC et des art. 1 ss LPD , il reproche à la cour cantonale d'avoir considéré l'atteinte comme justifiée en l'absence de consentement et d'intérêt prépondérant de l'auteur de l'atteinte.</w:t>
      </w:r>
    </w:p>
    <w:p>
      <w:r>
        <w:rPr>
          <w:b/>
        </w:rPr>
        <w:t>E. 3.2</w:t>
      </w:r>
    </w:p>
    <w:p>
      <w:r>
        <w:t>En l'espèce, il n'est pas contesté que l'intimée a troublé la sphère privée du recourant en accédant à sa messagerie privée. La cour cantonale estime toutefois qu'elle pouvait se prévaloir des motifs justificatifs prévus à l' art. 28 al. 2 CC . La question peut ici rester indécise, le tort moral - qui découlerait de l'atteinte illicite à la personnalité du recourant - n'étant de toute façon pas établi.</w:t>
      </w:r>
    </w:p>
    <w:p>
      <w:r>
        <w:t>Le salarié victime d'une atteinte à sa personnalité contraire à l' art. 328 CO (soit également à l' art. 328b CO ) du fait de son employeur peut, le cas échéant, prétendre à une indemnité pour tort moral aux conditions fixées par l' art. 49 al. 1 CO ( art. 97 al. 1 et art. 99 al. 3 CO ; ATF 130 III 699 consid. 5.1 p. 704; 125 III 70 consid. 3a p. 74).</w:t>
      </w:r>
    </w:p>
    <w:p>
      <w:r>
        <w:t>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(arrêts 4A_665/2010 du 1er mars 2011 consid. 6.1; 4A_128/2007 du 9 juillet 2007 consid. 2.3). Ainsi, dans certaines situations, malgré l'illicéité de l'atteinte à la personnalité, la victime ne pourra bénéficier d'aucun dédommagement au titre du tort moral (cf. ATF 129 III 715 consid. 4.4. p. 726).</w:t>
      </w:r>
    </w:p>
    <w:p>
      <w:r>
        <w:t>Il ne suffit pas, pour la victime, de démontrer que les données personnelles ont été traitées de façon illicite (DAVID ROSENTHAL, in Handkommentar zum Datenschutzgesetz, 2008, no 50 ad art. 15 al. 1 LPD ). En l'espèce, il appartenait au recourant, en vertu de l' art. 8 CC , d'alléguer et de prouver les faits permettant de constater que l'atteinte ressentie était objectivement et subjectivement grave (cf. ATF 120 II 97 consid. 2b p. 99; CORRADO RAMPINI, in Basler Kommentar, Datenschutzgesetz, 2e éd. 2006, no 22 ad art. 15 LPD ).</w:t>
      </w:r>
    </w:p>
    <w:p>
      <w:r>
        <w:t>Le recourant ne fournit pas cette démonstration. Il ne prouve pas qu'il aurait subi un tort sérieux sur le plan personnel (par exemple des souffrances psychiques ou une atteinte à la considération). Il part du principe que l'atteinte doit être qualifiée de grave "car absolument injustifiée et touchant la sphère secrète", sans donner la moindre explication à ce sujet; il se limite à affirmer qu'une messagerie privée "est susceptible de contenir des informations telles que des communications relatives à la santé de l'intéressé ou de tiers, à la vie familiale, ou d'autres éléments éminemment personnels". Il fournit ainsi une simple hypothèse sans toutefois démontrer si celle-ci, dans les circonstances d'espèce, a eu pour effet de lui causer un véritable tort moral (cf. ATF 129 III 715 consid. 4.4 p. 725; ROSENTHAL, op. cit., no 50 ad art. 15 LPD ). Le recourant ne prétend pas non plus avoir effectué les allégations correspondantes en procédure cantonale et on ne trouve aucune trace de telles allégations. Il apparaît ainsi que son argumentation juridique repose sur des faits qui n'ont pas été allégués précédemment et dont le Tribunal fédéral ne saurait dès lors tenir compte ( art. 99 al. 1 LTF ; ATF 130 III 28 consid. 4.4 p. 34; 129 III 135 consid. 2.3.1 p. 144 et l'arrêt cité; arrêt 4A_245/2009 du 6 avril 2010 consid. 4.4).</w:t>
      </w:r>
    </w:p>
    <w:p>
      <w:r>
        <w:rPr>
          <w:b/>
        </w:rPr>
        <w:t>E. 4</w:t>
      </w:r>
    </w:p>
    <w:p>
      <w:r>
        <w:t>Il résulte des considérations qui précèdent que le recours doit être déclaré mal fondé.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