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464/2008 vom 22. Dezember 2008</w:t>
      </w:r>
    </w:p>
    <w:p>
      <w:r>
        <w:t>Bundesgericht, 2008-12-22, FR</w:t>
      </w:r>
    </w:p>
    <w:p>
      <w:r>
        <w:rPr>
          <w:b/>
        </w:rPr>
        <w:t xml:space="preserve">Quelle: </w:t>
      </w:r>
      <w:r>
        <w:t>https://mcp.opencaselaw.ch/entscheid/bger_4A_464_2008</w:t>
      </w:r>
    </w:p>
    <w:p>
      <w:r>
        <w:t>FR: TF 4A 464/2008 du 22 décembre 2008</w:t>
      </w:r>
    </w:p>
    <w:p>
      <w:r>
        <w:t>IT: TF 4A 464/2008 del 22 dicembre 2008</w:t>
      </w:r>
    </w:p>
    <w:p>
      <w:pPr>
        <w:pStyle w:val="Heading2"/>
      </w:pPr>
      <w:r>
        <w:t>Regeste</w:t>
      </w:r>
    </w:p>
    <w:p>
      <w:r>
        <w:t>responsabilité du mandataire | Droit des contrats</w:t>
      </w:r>
    </w:p>
    <w:p>
      <w:pPr>
        <w:pStyle w:val="Heading2"/>
      </w:pPr>
      <w:r>
        <w:t>Erwägungen</w:t>
      </w:r>
    </w:p>
    <w:p>
      <w:r>
        <w:rPr>
          <w:b/>
        </w:rPr>
        <w:t>E. 1</w:t>
      </w:r>
    </w:p>
    <w:p>
      <w:r>
        <w:t>Le jugement attaqué a été rendu dans une cause pécuniaire en matière civile portant sur une valeur litigieuse - calculée d'après les conclusions restées litigieuses devant l'autorité précédente ( art. 51 al. 1 let. a LTF ), i.e. 203'740 fr. - bien supérieure au seuil fixé à l' art. 74 al. 1 let. b LTF pour la recevabilité du recours en matière civile. Emanant de la partie qui a succombé dans ses conclusions libératoires et dirigé contre une décision finale ( art. 90 LTF ) rendue par un tribunal supérieur ( art. 75 LTF ), le recours en matière civile est en principe recevable, puisqu'il a été interjeté en temps utile ( art. 100 al. 1 LTF ), compte tenu de la suspension du délai durant les féries d'été ( art. 46 al. 1 let. b LTF ), et dans les formes requises ( art. 42 LTF ).</w:t>
      </w:r>
    </w:p>
    <w:p>
      <w:r>
        <w:rPr>
          <w:b/>
        </w:rPr>
        <w:t>E. 2.1</w:t>
      </w:r>
    </w:p>
    <w:p>
      <w:r>
        <w:t>Le recourant avait soutenu, devant les premiers juges, qu'un événement dommageable peut procurer simultanément un avantage au lésé. Ainsi en allait-il en l'espèce, selon lui, dès lors que, du fait de l'exhérédation de leur père, les deux filles de l'intimé avaient touché le montant de sa réserve successorale, soit 174'000 fr., montant dont les revenus pouvaient être affectés à leur entretien, conformément à l' art. 319 CC , ce qui réduisait d'autant la charge financière grevant le patrimoine de l'intimé. De l'avis du recourant, la cour cantonale, tenue qu'elle était d'appliquer le droit d'office, aurait dû examiner cette question de son propre chef. En lui imposant des allégations et des preuves au demeurant non précisées, elle aurait violé la disposition citée, ainsi que l' art. 95 let. a LTF et l' art. 44 CO .</w:t>
      </w:r>
    </w:p>
    <w:p>
      <w:r>
        <w:rPr>
          <w:b/>
        </w:rPr>
        <w:t>E. 2.2</w:t>
      </w:r>
    </w:p>
    <w:p>
      <w:r>
        <w:t>Comme le présent recours ne porte pas sur l'allocation à l'intimé de la somme de 174'000 fr., ce point n'étant plus litigieux devant le Tribunal fédéral, le recourant n'a pas d'intérêt juridique à la modification de la décision déférée, sa seule participation à la procédure cantonale comme partie défenderesse n'étant ainsi pas suffisante. En effet, entrer en matière sur ce grief reviendrait à admettre la recevabilité d'un recours portant sur les seuls motifs, ce qui n'est pas admissible ( ATF 129 III 320 consid. 5.1 p. 323 et les arrêts cités).</w:t>
      </w:r>
    </w:p>
    <w:p>
      <w:r>
        <w:rPr>
          <w:b/>
        </w:rPr>
        <w:t>E. 3.1</w:t>
      </w:r>
    </w:p>
    <w:p>
      <w:r>
        <w:t>Le recourant reproche aux premiers juges de l'avoir condamné à payer la somme de 29'740 fr. comprenant les dépens et honoraires d'avocat assumés par l'intimé dans la procédure ayant opposé ce dernier à ses deux demi-frères. Selon lui, cette procédure ne servait à rien et était d'autant plus inutile qu'elle n'avait pas pour objet sa responsabilité. De manière évidente, elle avait été ouverte tardivement et contre des personnes qui n'avaient pas qualité pour défendre. En outre, l'intimé avait attendu plus d'une année avant de convertir sa demande successorale en une action fondée sur une culpa in contrahendo. Toutes les preuves administrées au cours de cette première procédure inutile auraient pu l'être dans le cadre de la procédure en responsabilité du mandataire intentée après coup. Ce faisant, les juges précédents seraient tombés dans l'arbitraire et auraient violé les art. 97 al. 1, 99 al. 3, 41 et 44 CO, de l'avis du recourant, pour avoir mis à sa charge des frais inutilement engagés, qui avaient augmenté le dommage à réparer par lui.</w:t>
      </w:r>
    </w:p>
    <w:p>
      <w:r>
        <w:rPr>
          <w:b/>
        </w:rPr>
        <w:t>E. 3.2</w:t>
      </w:r>
    </w:p>
    <w:p>
      <w:r>
        <w:t>La cour cantonale retient, à bon droit, que la responsabilité contractuelle du recourant, lié à l'intimé par un contrat de mandat ( art. 394 ss CO ), découle de l' art. 398 CO , le mandataire ayant omis d'intenter action en temps utile pour le compte de son client (cf. arrêt 4C.449/2004 du 9 mars 2005 consid. 2).</w:t>
      </w:r>
    </w:p>
    <w:p>
      <w:r>
        <w:rPr>
          <w:b/>
        </w:rPr>
        <w:t>E. 3.3.1</w:t>
      </w:r>
    </w:p>
    <w:p>
      <w:r>
        <w:t>La question présentement litigieuse a trait à la causalité entre l'omission fautive imputable au recourant et le dommage subi par l'intimé qui a dû assumer les frais, dépens et honoraires d'une procédure introduite tardivement par lui du fait de la violation du mandat qu'il avait confié au recourant. Selon la jurisprudence constante du Tribunal fédéral, il y a lieu de distinguer entre la causalité naturelle et la causalité adéquate même si la violation d'une obligation contractuelle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Viole, en revanche, le droit fédéral le juge qui ignore l'exigence de la causalité naturelle ou méconnaît cette notion juridique (arrêt précité, consid. 4.1 et les références).</w:t>
      </w:r>
    </w:p>
    <w:p>
      <w:r>
        <w:rPr>
          <w:b/>
        </w:rPr>
        <w:t>E. 3.3.2.1</w:t>
      </w:r>
    </w:p>
    <w:p>
      <w:r>
        <w:t>Le délai d'un an pour intenter une action en nullité des dispositions pour cause de mort court dès la connaissance de la disposition incriminée et de la cause de nullité ( art. 521 al. 1 CC ). Le délai d'un an applicable à l'action en réduction s'écoule à partir du moment où l'héritier connaît la lésion de sa réserve ( art. 533 al. 1 CC ). Il s'agit de délais de péremption ou de déchéance ( ATF 98 II 176 consid. 10 p. 178 à 181). Ainsi, d'après l'état de fait du jugement attaqué, le délai pour intenter l'une ou l'autre de ces deux actions est arrivé à échéance le 26 septembre 1995, l'intimé ayant pris connaissance de la perte de ses droits lors de la communication du testament de son père défunt. Il en découle que le recourant n'a pas procédé judiciairement dans un tel laps de temps, ce qui a entraîné la forclusion des droits de son client. Sur le vu des constatations de l'autorité cantonale, il est établi et non contesté que, si le recourant avait ouvert action en temps utile pour le compte de son mandant, afin de contester la validité de la clause d'exhérédation de ce dernier, l'intimé aurait obtenu gain de cause et n'aurait pas été privé de sa réserve légale dans la succession de feu son père à concurrence de 174'000 fr. Un rapport de causalité hypothétique, au sens de la jurisprudence précitée, entre l'omission d'agir en temps utile et le préjudice est donc constant.</w:t>
      </w:r>
    </w:p>
    <w:p>
      <w:r>
        <w:rPr>
          <w:b/>
        </w:rPr>
        <w:t>E. 3.3.2.2</w:t>
      </w:r>
    </w:p>
    <w:p>
      <w:r>
        <w:t>En revanche, sur le point encore litigieux, il faut d'abord remarquer que les frais que l'intimé a encourus pour avoir intenté une première action contre les deux héritiers de feu son père ne sont en rien imputables au recourant, mais résultent exclusivement d'une décision unilatérale prise par l'intimé et son nouveau conseil. Ceux-ci ont, de la sorte, pris de leur propre chef le risque d'ouvrir action, nonobstant l'expiration du délai légal pour procéder, et la décision déférée ne renferme pas de constatations permettant de dire que le recourant y aurait été associé d'une façon ou d'une autre. Il n'est donc pas possible d'affirmer que l'omission imputée au recourant serait dans un rapport de causalité hypothétique avec ce poste du dommage. En d'autres termes, comme le recourant l'a soutenu avec raison, il aurait suffi à l'intimé d'ouvrir une seule action en responsabilité à l'encontre de son ancien mandataire. L'instruction de celle-ci aurait alors permis d'aboutir aux mêmes conclusions que celles auxquelles est parvenue la IIe Cour civile du Tribunal cantonal neuchâtelois, ce d'autant qu'il était manifeste qu'une exhérédation était dépourvue de tout fondement dans le cas particulier au regard des motifs mêmes du testament confectionné le 13 juin 1993 par H.Z.________, les seuls motifs qui peuvent être pris en considération selon l' art. 479 al. 1 CC . En effet, une telle mesure n'est possible, en vertu de l' art. 477 CC , que lorsque l'héritier réservataire a commis une infraction pénale grave contre le défunt ou l'un de ses proches (ch. 1) ou qu'il a gravement failli aux devoirs que la loi lui impose envers le défunt ou sa famille (ch. 2). Or, aucune de ces deux hypothèses n'est réalisée en l'espèce sur le vu de la clause topique du testament, en l'absence de tout comportement fautif imputé à l'intimé, ce que le recourant ne conteste d'ailleurs pas. Ainsi, contrairement à l'avis de l'autorité cantonale, l'intimé était parfaitement fondé à procéder directement à l'encontre du recourant sans actionner préalablement ses demi-frères, étant donné que le mandant lésé, qui agit en responsabilité contre son avocat, est habilité à prouver que, si son ancien conseil avait respecté son devoir de diligence, le dommage ne se serait pas produit ( ATF 87 II 364 consid. 2).</w:t>
      </w:r>
    </w:p>
    <w:p>
      <w:r>
        <w:rPr>
          <w:b/>
        </w:rPr>
        <w:t>E. 3.4</w:t>
      </w:r>
    </w:p>
    <w:p>
      <w:r>
        <w:t>Il est vrai que, si, par hypothèse, l'intimé avait obtenu gain de cause dans la procédure judiciaire intentée contre ses demi-frères, l'omission reprochée au recourant n'aurait pas eu de conséquences dommageables aussi importantes. Cependant, il ne faut pas perdre de vue que seules sont opposables au lésé, s'agissant du devoir d'éviter la survenance du dommage ou d'en réduire l'importance, les mesures pouvant être raisonnablement et objectivement exigées de lui ( ATF 132 III 359 consid. 4.3 p. 368). Par conséquent, il faut examiner si l'intimé était fondé à intenter d'abord action à ses demi-frères. Les délais pour intenter une action en nullité d'une disposition pour cause de mort ou une action en réduction sont des délais de péremption, soit de déchéance (cf. consid. 3.3.2.1 ci-dessus). Savoir si l'abus de droit ( art. 2 al. 2 CC ) peut être opposé à celui qui se prévaut de l'expiration d'un délai de péremption est une question controversée ( ATF 108 II 233 consid. 5b p. 239). Quoi qu'il en soit, il découle clairement des faits constatés que la première procédure ouverte par l'intimé à l'encontre de ses demi-frères était pour le moins aléatoire dans la mesure où le recourant n'avait été en rien dissuadé d'intenter action en vue de sauvegarder les droits de son client. En effet, il n'a pas été retenu que les demi-frères de l'intimé auraient détourné celui-ci d'agir dans le délai légal ou qu'ils auraient adopté une attitude susceptible de l'engager à ne pas procéder en temps utile. Par rapport à ces deux autres héritiers, le recourant était le représentant ou l'auxiliaire de l'intimé en vertu du mandat que ce dernier lui avait confié. Dès lors, l'omission du recourant était opposable à l'intimé. Du moment que le respect des délais de péremption et de prescription constitue une des règles élémentaires de la profession d'avocat, le sort d'une cause dépendant au premier chef de la question de savoir si l'action est périmée ou la créance prescrite (arrêt C.413/1982 du 26 avril 1983 consid. 1, in SJ 1984 p. 204), on ne voit pas comment l'inaction fautive du recourant aurait pu légitimer l'intimé à intenter action contre ses deux demi-frères en dépit de l'expiration des délais de péremption, alors que cet état de choses était en définitive imputable à l'exhérédé par le fait de son conseil. En conséquence, l'intimé ne saurait prétendre qu'il pouvait être raisonnablement et objectivement exigé de lui qu'il intentât une action tardive à l'encontre de ses demi-frères. Le faire ne constituait donc pas une mesure adéquate, de nature à diminuer le dommage qu'il avait subi à la suite de l'omission de son avocat d'ouvrir action en temps utile.</w:t>
      </w:r>
    </w:p>
    <w:p>
      <w:r>
        <w:rPr>
          <w:b/>
        </w:rPr>
        <w:t>E. 3.5</w:t>
      </w:r>
    </w:p>
    <w:p>
      <w:r>
        <w:t>En conclusion, la somme de 29'740 fr., représentant les frais, dépens et honoraires provoqués par la procédure que l'intimé avait conduite inutilement contre ses demi-frères, n'aurait pas dû être mise à la charge du recourant. En le faisant néanmoins, la cour cantonale a donc violé le droit fédéral. Le présent recours doit donc être admis et le jugement attaqué réformé en ce sens que la somme en question sera déduite du montant alloué à l'intimé. Pour le surplus, il y a lieu d'annuler le dispositif de ce jugement et de renvoyer la cause aux premiers juges afin qu'ils statuent à nouveau sur les frais et dépens de la procédure cantonale.</w:t>
      </w:r>
    </w:p>
    <w:p>
      <w:r>
        <w:rPr>
          <w:b/>
        </w:rPr>
        <w:t>E. 4</w:t>
      </w:r>
    </w:p>
    <w:p>
      <w:r>
        <w:t>L'intimé, qui succombe, supportera les frais et dépens liés à la procédure fédérale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