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4A_462/2025 vom 16. Oktober 2025</w:t>
      </w:r>
    </w:p>
    <w:p>
      <w:r>
        <w:t>Bundesgericht, 2025-10-16, DE</w:t>
      </w:r>
    </w:p>
    <w:p>
      <w:r>
        <w:rPr>
          <w:b/>
        </w:rPr>
        <w:t xml:space="preserve">Quelle: </w:t>
      </w:r>
      <w:r>
        <w:t>https://mcp.opencaselaw.ch/entscheid/bger_4A_462_2025</w:t>
      </w:r>
    </w:p>
    <w:p>
      <w:r>
        <w:t>FR: TF 4A_462/2025 du 16 octobre 2025</w:t>
      </w:r>
    </w:p>
    <w:p>
      <w:r>
        <w:t>IT: TF 4A_462/2025 del 16 ottobre 2025</w:t>
      </w:r>
    </w:p>
    <w:p>
      <w:pPr>
        <w:pStyle w:val="Heading2"/>
      </w:pPr>
      <w:r>
        <w:t>Erwägungen</w:t>
      </w:r>
    </w:p>
    <w:p>
      <w:r>
        <w:rPr>
          <w:b/>
        </w:rPr>
        <w:t>E. 1</w:t>
      </w:r>
    </w:p>
    <w:p>
      <w:r>
        <w:t>Der Einzelrichter am Bezirksgericht Küssnacht verpflichtete die Beschwerdeführerin mit Verfügung vom 5. Mai 2025, die 4 1/2-Zimmerwohnung im Erdgeschoss (und Keller) der Liegenschaft (...) sowie den Autounterstand Nr. xxx an der gleichen Adresse und das Lager im 1. Untergeschoss der Liegenschaft (...) unverzüglich, jedoch spätestens innert zehn Tagen vollständig zu räumen, zu verlassen und der Beschwerdegegnerin in gereinigtem Zustand inklusive aller Schlüssel abzugeben. Für den Fall der Widerhandlung gegen diese Anordnung wurde die Beschwerdegegnerin zur zwangsweisen Durchsetzung der Räumung mit polizeilicher Hilfe ermächtigt und der Beschwerdeführerin Bestrafung nach Art. 292 StGB angedroht.</w:t>
      </w:r>
    </w:p>
    <w:p>
      <w:r>
        <w:t>Eine von der Beschwerdegegnerin dagegen eingelegte Berufung wies das Kantonsgericht Schwyz mit Beschluss vom 7. August 2025 ab, soweit es darauf eintrat.</w:t>
      </w:r>
    </w:p>
    <w:p>
      <w:r>
        <w:t>Gegen diesen Beschluss erhob die Beschwerdeführerin mit Eingabe vom 17. September 2025 beim Bundesgericht Beschwerde.</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w:t>
      </w:r>
    </w:p>
    <w:p>
      <w:r>
        <w:t>Diesen Anforderungen an die Begründung genügt die Eingabe vom 17. September 2025 offensichtlich nicht. Auf die demnach unzulässige Beschwerde ist somit im vereinfachten Verfahren nach Art. 108 Abs. 1 lit. b BGG nicht einzutreten, wobei sich die Urteilsbegründung auf eine kurze Angabe des Unzulässigkeitsgrundes beschränkt ( Art. 108 Abs. 3 BGG ).</w:t>
      </w:r>
    </w:p>
    <w:p>
      <w:r>
        <w:rPr>
          <w:b/>
        </w:rPr>
        <w:t>E. 3</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