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462/2016 vom 29. September 2016</w:t>
      </w:r>
    </w:p>
    <w:p>
      <w:r>
        <w:t>Bundesgericht, 2016-09-29, DE</w:t>
      </w:r>
    </w:p>
    <w:p>
      <w:r>
        <w:rPr>
          <w:b/>
        </w:rPr>
        <w:t xml:space="preserve">Quelle: </w:t>
      </w:r>
      <w:r>
        <w:t>https://mcp.opencaselaw.ch/entscheid/bger_4A_462_2016</w:t>
      </w:r>
    </w:p>
    <w:p>
      <w:r>
        <w:t>FR: TF 4A 462/2016 du 29 septembre 2016</w:t>
      </w:r>
    </w:p>
    <w:p>
      <w:r>
        <w:t>IT: TF 4A 462/2016 del 29 settembre 2016</w:t>
      </w:r>
    </w:p>
    <w:p>
      <w:pPr>
        <w:pStyle w:val="Heading2"/>
      </w:pPr>
      <w:r>
        <w:t>Regeste</w:t>
      </w:r>
    </w:p>
    <w:p>
      <w:r>
        <w:t>Krankentaggeldversicherung | Vertragsrecht</w:t>
      </w:r>
    </w:p>
    <w:p>
      <w:pPr>
        <w:pStyle w:val="Heading2"/>
      </w:pPr>
      <w:r>
        <w:t>Erwägungen</w:t>
      </w:r>
    </w:p>
    <w:p>
      <w:r>
        <w:rPr>
          <w:b/>
        </w:rPr>
        <w:t>E. 1</w:t>
      </w:r>
    </w:p>
    <w:p>
      <w:r>
        <w:t>Zu beurteilen ist die Leistungspflicht aus einer Zusatzversicherung zur sozialen Krankenversicherung. Derartige Zusatzversicherungen unterstehen gemäss Art. 2 Abs. 2 des Bundesgesetzes betreffend die Aufsicht über die soziale Krankenversicherung (Krankenversicherungsaufsichtsgesetz, KVAG; SR 832.12; bis zum 1. Januar 2016: Art. 12 Abs. 2 und 3 des Bundesgesetzes über die Krankenversicherung [KVG; SR 832.10], vgl. Botschaft zum Bundesgesetz betreffend die Aufsicht über die soziale Krankenversicherung, BBl 2012 S. 1941 ff., S. 1956) dem Bundesgesetz über den Versicherungsvertrag (Versicherungsvertragsgesetz, VVG; SR 221.229.1). Streitigkeiten aus solchen Versicherungen sind privatrechtlicher Natur, womit als Rechtsmittel an das Bundesgericht die Beschwerde in Zivilsachen gemäss Art. 72 ff. BGG in Betracht kommt ( BGE 138 III 2 E. 1.1 S. 3; 133 III 439 E. 2.1 S. 441 f. mit Hinweis). Die Beschwerde richtet sich gegen einen Endentscheid ( Art. 90 BGG ). Die Verwaltungsrechtliche Abteilung des Obergerichts des Kantons Uri hat als einzige kantonale Instanz im Sinne von Art. 7 ZPO und Art. 75 Abs. 2 lit. a BGG entschieden, weshalb die Beschwerde in vermögensrechtlichen Angelegenheiten gemäss Art. 74 Abs. 2 lit. b BGG unabhängig vom Erreichen der Streitwertgrenze nach Art. 74 Abs. 1 BGG zulässig ist (vgl. BGE 138 III 2 E. 1.2.2 S. 4 ff., 799 E. 1.1 S. 800). Die Beschwerdefrist ist eingehalten (Art. 100 Abs. 1 i.V.m. Art. 46 Abs. 1 lit. a BGG ). Da auch die übrigen Sachurteilsvoraussetzungen erfüllt sind, ist unter Vorbehalt rechtsgenügend begründeter Rügen auf die Beschwerde einzutreten.</w:t>
      </w:r>
    </w:p>
    <w:p>
      <w:r>
        <w:rPr>
          <w:b/>
        </w:rPr>
        <w:t>E. 2.1</w:t>
      </w:r>
    </w:p>
    <w:p>
      <w:r>
        <w:t>Mit Beschwerde in Zivilsachen können Rechtsverletzungen nach Art. 95 und 96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S. 104).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Soweit der Beschwerdeführer diesen Begründungsanforderungen nicht genügt und in seiner Beschwerde den Sachverhalt frei ergänzt oder abändert, ohne entsprechende Sachverhaltsrügen vorzubringen, haben seine Ausführungen unbeachtet zu bleiben.</w:t>
      </w:r>
    </w:p>
    <w:p>
      <w:r>
        <w:rPr>
          <w:b/>
        </w:rPr>
        <w:t>E. 3.1</w:t>
      </w:r>
    </w:p>
    <w:p>
      <w:r>
        <w:t>Art. 9 der Allgemeinen Versicherungsbedingungen der Beschwerdegegnerin (AVB; Ausgabe 2013) bezeichnet die Arbeitsunfähigkeit als die durch eine Beeinträchtigung der körperlichen oder geistigen Gesundheit bedingte volle oder teilweise Unfähigkeit, im bisherigen Beruf oder Aufgabenbereich zumutbare Arbeit zu leisten. Nach 3 Monaten Arbeitsunfähigkeit wird auch die zumutbare Tätigkeit in einem anderen Beruf oder Aufgabenbereich berücksichtigt. Art. 23 AVB bestimmt sodann, dass ein in seinem angestammten Beruf arbeitsunfähiger Versicherter innert 3 Monaten Arbeit in einem anderen Erwerbszweig zu suchen hat. Wird die Restarbeitsfähigkeit nicht verwertet, so erfolgt die Taggeldabrechnung unter Berücksichtigung der Schadenminderungspflicht des Versicherten.</w:t>
      </w:r>
    </w:p>
    <w:p>
      <w:r>
        <w:rPr>
          <w:b/>
        </w:rPr>
        <w:t>E. 3.2</w:t>
      </w:r>
    </w:p>
    <w:p>
      <w:r>
        <w:t>Unbestritten ist, dass der Beschwerdeführer im Zeitpunkt der Leistungseinstellung durch die Beschwerdegegnerin (im März 2014) in seiner angestammten Tätigkeit als Koch/Geschäftsführer arbeitsunfähig war. Ebenso unbestritten ist, dass der Beschwerdeführer im September 2014 seine Arbeitsfähigkeit in seinem Beruf (vorerst teilweise) wieder zurückgewonnen hat. Folglich ermittelte die Vorinstanz anhand der medizinischen Akten, ob und in welchem Ausmass der Beschwerdeführer in einer angepassten Tätigkeit zwischen Dezember 2013 und September 2014 arbeitsfähig gewesen wäre. Dazu würdigte sie die diversen Arztberichte wobei sie unter Hinweis auf den Bericht von Dr. med. C.________ und Dr. med. D.________ festhielt, die Einschätzung der Beschwerdegegnerin, wonach der Beschwerdeführer in einer leichten Tätigkeit ganztags arbeitsfähig sei, erscheine plausibel. Alsdann hielt sie fest, dass die Prognose betreffend Zurückgewinnung der Arbeitsfähigkeit im angestammten Beruf als Koch im Zeitpunkt der Leistungseinstellung negativ zu beurteilen gewesen sei; der Beschwerdeführer sei in diesem Zeitpunkt schon seit fast 6 Monaten in hohem Grade arbeitsunfähig gewesen und es habe sich keine Besserung abgezeichnet. Aus diesem Grund sei nachvollziehbar, dass die Beschwerdegegnerin dem Beschwerdeführer eine 3monatige Frist angesetzt habe, um sich um eine angepasste Tätigkeit zu bemühen. Der Beschwerdeführer habe folglich seine Schadenminderungspflicht verletzt, indem er an seiner Tätigkeit als Koch festgehalten habe, obwohl ihm diese aus medizinischer Sicht nicht mehr zumutbar gewesen sei.</w:t>
      </w:r>
    </w:p>
    <w:p>
      <w:r>
        <w:rPr>
          <w:b/>
        </w:rPr>
        <w:t>E. 3.3</w:t>
      </w:r>
    </w:p>
    <w:p>
      <w:r>
        <w:t>Der Beschwerdeführer stellt sich nach wie vor auf den Standpunkt, dass er entgegen der Ansicht der Vorinstanz auch für eine leidensangepasste Tätigkeit nicht arbeitsfähig gewesen sei und ihm die Aufgabe seiner selbstständigen Tätigkeit nicht habe zugemutet werden können, weshalb die Beschwerdegegnerin den Taggeldanspruch im März 2014 (noch) nicht hätte einstellen dürfen. Dabei rügt er eine falsche Feststellung des Sachverhaltes bzw. eine willkürliche Beweiswürdigung. Er macht geltend, sowohl sein Hausarzt Dr. med. D.________ als auch die beiden Ärzte Dr. med. E.________ und Dr. med. F.________ hätten ein chronisch abdominales Schmerzsyndrom diagnostiziert. Aufgrund seiner Schmerzen habe er gerade mal 15 Minuten sitzen und maximal 2 Stunden stehen können, womit keine wechselbelastende Tätigkeit möglich gewesen sei. Gestützt darauf sei auch "völlig realitätsfremd", inwiefern ihm - als nachgewiesener Legastheniker - eine Einsatzmöglichkeit in einem anderen Erwerbszweig habe zugemutet werden können. Unter Berücksichtigung der gesamten objektiven und subjektiven Gegebenheiten hätten von ihm keine derartigen Vorkehrungen verlangt werden dürfen, weshalb keine Verletzung seiner Schadenminderungspflicht angenommen werden könne. Vielmehr habe er alles dafür getan, um in seinen bisherigen Beruf zurückzukehren, was ihm Dank der von Dr. med. F.________ angeordneten Behandlung im September 2014 auch gelungen sei.</w:t>
      </w:r>
    </w:p>
    <w:p>
      <w:r>
        <w:rPr>
          <w:b/>
        </w:rPr>
        <w:t>E. 3.4</w:t>
      </w:r>
    </w:p>
    <w:p>
      <w:r>
        <w:t>Die Rügen erweisen sich als unbegründet. Dem angefochtenen Urteil kann entnommen werden, dass die Vorinstanz den Gesundheitszustand des Beschwerdeführers bzw. die Einschätzung seiner Arbeitsfähigkeit durch die verschiedenen Ärzte anhand der wichtigsten medizinischen Akten detailliert wiedergegeben hat. Unter Würdigung dieser umfangreichen Akten hat sie sodann, entgegen dem was der Beschwerdeführer behauptet, sehr wohl festgehalten, dass der Beschwerdeführer nur "einfache Arbeiten" ausführen konnte, "die kein sich bücken oder heben von Pfannen oder sonstigen Gegenständen beinhalten". Ebenso hielt die Vorinstanz fest, dass "rein sitzende Tätigkeiten nur eingeschränkt möglich sind". Der "medizinische Sachverhalt", wie der Beschwerdeführer ihn nennt, wurde somit richtig wiedergegeben. Weshalb gestützt darauf nicht hätte geschlossen werden dürfen, dass im Zeitpunkt der Leistungseinstellung eine leichte wechselbelastende Tätigkeit mit stabilisierendem Bauchgurt und einer um 20 % (schmerzbedingt) eingeschränkten Leistungsfähigkeit möglich gewesen wäre, tut der Beschwerdeführer nicht dar. Einzig mit dem Vorbringen, ihm sei aufgrund seiner gesundheitlichen Situation keine wechselseitig belastende Tätigkeit möglich gewesen, vermag er keine Willkür zu begründen. Ebensowenig vermag er Willkür aufzuzeigen soweit er vorbringt, es sei ihm im Zeitpunkt der Leistungseinstellung nicht zumutbar gewesen, seine selbstständige Erwerbstätigkeit zugunsten einer leidensangepassten Tätigkeit aufzugeben. Wie die Vorinstanz festgehalten hat, ist den diversen Arztberichten - auf welche sich im Übrigen auch der Beschwerdeführer bezieht - zu entnehmen, dass im Zeitpunkt, in welchem die Beschwerdegegnerin dem Beschwerdeführer die Leistungseinstellung nach einer 3-monatigen Anpassungsfrist ankündigte, die Weiterführung seiner Tätigkeit als Koch als kaum mehr möglich angesehen wurde. Es war zu diesem Zeitpunkt auch keine Besserung in Sicht, was der Beschwerdeführer denn auch gar nicht in Abrede stellt. Er ist einzig der Ansicht, dass mit der Leistungseinstellung hätte zugewartet werden müssen, da eine spätere Therapie zum Erfolg geführt habe, weshalb ihm ein Berufswechsel nicht habe zugemutet werden dürfen. Damit setzt er sich jedoch keineswegs mit den Ausführungen der Vorinstanz auseinander: Die Vorinstanz hat die Anstrengungen des Beschwerdeführers, weiterhin in seinem angestammten Beruf arbeiten zu können, sehr wohl berücksichtigt, ja gar anerkannt. So hielt sie es auch für durchaus verständlich, dass der Beschwerdeführer seine selbständige Tätigkeit nicht habe aufgeben wollen, hielt aber fest, dass dafür nicht die Taggeldversicherung einzustehen habe. Es könne von der Versicherung nicht erwartet werden, dass sie über Monate Taggeldleistungen erbringe, wenn keine Verbesserung der Arbeitsfähigkeit in Sicht - eine angepasste Tätigkeit hingegen vollschichtig zumutbar sei. Von einer rein administrativen Tätigkeit war dabei jedoch entgegen den Vorbringen des Beschwerdeführers nicht die Rede. Die Vorinstanz hielt die Einsatzmöglichkeit in einer angepassten Tätigkeit für zumutbar, welche - anders als der Beschwerdeführer dies unter Hinweis auf das Urteil 9C_818/2011 ausdrückt - nicht als realitätsfremd angesehen werden kann; es können nur Vorkehren hinsichtlich eines Berufswechsels verlangt werden, die unter Berücksichtigung der gesamten objektiven und subjektiven Gegebenheiten des Einzelfalles zumutbar sind, wobei bei der Bestimmung der Zumutbarkeit eines Berufswechsels, auch das trotz der gesundheitlichen Beeinträchtigung zumutbarerweise erzielbare Einkommen bezogen auf einen ausgeglichenen Arbeitsmarkt zu ermitteln ist (Urteil 9C_818/2011 vom 7. September 2012 E. 3.2 mit Hinweisen). Entsprechend hielt die Vorinstanz auch fest, dass dem Beschwerdeführer auch unter diesem Aspekt die Aufgabe seiner selbstständigen Tätigkeit zumutbar sei, denn gemäss der unangefochten gebliebenen Verfügung der IV-Stelle vom 5. November 2014 würde er in einer angepassten Tätigkeit deutlich mehr verdienen. Dagegen bringt der Beschwerdeführer nichts Sachdienliches vor, womit er den Begründungsanforderungen (vgl. E. 2 hiervor) nicht nachkommt.</w:t>
      </w:r>
    </w:p>
    <w:p>
      <w:r>
        <w:rPr>
          <w:b/>
        </w:rPr>
        <w:t>E. 4</w:t>
      </w:r>
    </w:p>
    <w:p>
      <w:r>
        <w:t>Die Beschwerde ist damit abzuweisen, soweit darauf eingetreten werden kann. Bei diesem Ausgang des bundesgerichtlichen Verfahrens wird der Beschwerdeführer kostenpflichtig ( Art. 66 Abs. 1 BGG ). Der durch ihren Rechtsdienst vertretenen Beschwerdegegnerin ist praxisgemäss keine Parteientschädigung zuzusprechen (vgl. BGE 133 III 439 E. 4 S. 446; Urteil 4A_678/2011 vom 2. Mai 2012 E. 4, nicht publ. in: BGE 138 III 453 ;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