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4A_461/2024 vom 16. Januar 2025</w:t>
      </w:r>
    </w:p>
    <w:p>
      <w:r>
        <w:t>Bundesgericht, 2025-01-16, FR</w:t>
      </w:r>
    </w:p>
    <w:p>
      <w:r>
        <w:rPr>
          <w:b/>
        </w:rPr>
        <w:t xml:space="preserve">Quelle: </w:t>
      </w:r>
      <w:r>
        <w:t>https://mcp.opencaselaw.ch/entscheid/bger_4A_461_2024</w:t>
      </w:r>
    </w:p>
    <w:p>
      <w:r>
        <w:t>FR: TF 4A_461/2024 du 16 janvier 2025</w:t>
      </w:r>
    </w:p>
    <w:p>
      <w:r>
        <w:t>IT: TF 4A_461/2024 del 16 gennaio 2025</w:t>
      </w:r>
    </w:p>
    <w:p>
      <w:pPr>
        <w:pStyle w:val="Heading2"/>
      </w:pPr>
      <w:r>
        <w:t>Erwägungen</w:t>
      </w:r>
    </w:p>
    <w:p>
      <w:r>
        <w:rPr>
          <w:b/>
        </w:rPr>
        <w:t>E. 1</w:t>
      </w:r>
    </w:p>
    <w:p>
      <w:r>
        <w:t>L'arrêt attaqué est une décision finale ( art. 90 LTF ) rendue en matière civile ( art. 72 LTF ) par un tribunal supérieur désigné comme autorité cantonale de dernière instance, lequel a statué sur recours ( art. 75 LTF ). La cause atteint la valeur litigieuse minimale de 30'000 fr. ouvrant le recours en matière civile ( art. 74 al. 1 let. b LTF ). Le recours est exercé par la partie qui a succombé dans ses conclusions et qui a donc qualité pour recourir ( art. 76 al. 1 LTF ); il a été déposé dans le délai ( art. 100 al. 1 LTF ) et la forme ( art. 42 LTF ) prévus par la loi. Le recours est en principe recevable, sous réserve de l'examen des griefs particuliers.</w:t>
      </w:r>
    </w:p>
    <w:p>
      <w:r>
        <w:rPr>
          <w:b/>
        </w:rPr>
        <w:t>E. 2.1</w:t>
      </w:r>
    </w:p>
    <w:p>
      <w:r>
        <w:t>Le recours en matière civile peut être exercé pour violation du droit fédéral ( art. 95 let. a LTF ), y compris le droit constitutionnel ( ATF 136 I 241 consid. 2.1). 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147 III 172 consid. 2.2; 143 III 290 consid. 1.1).</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143 I 310 consid. 2.2). Encore faut-il que la correction du vice soit susceptible d'influer sur le sort de la cause ( art. 97 al. 1 LTF ). La critique de l'état de fait retenu est soumise au principe strict de l'allégation énoncé par l' art. 106 al. 2 LTF . La partie qui entend attaquer les faits constatés par l'autorité précédente doit expliquer clairement et de manière circonstanciée en quoi les conditions précitées seraient réalisées ( ATF 140 III 16 consid. 1.3.1). Les critiques de nature appellatoire sont irrecevables ( ATF 140 III 264 consid. 2.3).</w:t>
      </w:r>
    </w:p>
    <w:p>
      <w:r>
        <w:rPr>
          <w:b/>
        </w:rPr>
        <w:t>E. 3</w:t>
      </w:r>
    </w:p>
    <w:p>
      <w:r>
        <w:t>Les recourants se prévalent de l'invalidité de l'autorisation de procéder pour le motif que le juge conciliateur aurait dû se récuser ( art. 47 CPC ) après s'être rendu sur les lieux et avoir mené une instruction non contradictoire. Un tel grief n'est pas traité dans l'arrêt attaqué et les recourants n'établissent pas avoir valablement soulevé ce grief en instance cantonale. Ce grief est irrecevable faute d'épuisement des instances (supra consid. 2.1).</w:t>
      </w:r>
    </w:p>
    <w:p>
      <w:r>
        <w:rPr>
          <w:b/>
        </w:rPr>
        <w:t>E. 4</w:t>
      </w:r>
    </w:p>
    <w:p>
      <w:r>
        <w:t>Les recourants se prévalent d'une violation de l' art. 197 al. 1 CO . Selon eux, un vice de nature n'est pas constitutif d'un défaut. L'érosion de la falaise est un phénomène naturel, qui ne saurait constituer un défaut.</w:t>
      </w:r>
    </w:p>
    <w:p>
      <w:r>
        <w:rPr>
          <w:b/>
        </w:rPr>
        <w:t>E. 4.1</w:t>
      </w:r>
    </w:p>
    <w:p>
      <w:r>
        <w:t>Les parties se sont liées par un contrat de vente immobilière au sens des art. 216 ss CO ; la garantie pour les défauts de la chose vendue relève des art. 197 ss CO , applicables en vertu du renvoi de l' art. 221 CO ( ATF 131 III 145 consid. 3; arrêt 4A_392/2023 du 24 avril 2024 consid. 5.5.1). Aux termes de l' art. 197 CO le vendeur est tenu de garantir l'acheteur tant en raison des qualités promises qu'en raison des défauts qui, matériellement ou juridiquement, enlèvent à la chose soit sa valeur, soit son utilité prévue, ou qui les diminuent dans une notable mesure. Constitue un défaut, l'absence d'une qualité promise par le vendeur ou à laquelle l'acheteur pouvait s'attendre selon les règles de la bonne foi ( ATF 135 III 345 consid. 3.2; 114 II 239 consid. 5a, arrêts 4A_627/2020 du 24 août 2021 consid. 4.1; TERCIER/BIÉRI/CARRON, les contrats spéciaux, 5e éd. 2016, n. 659).</w:t>
      </w:r>
    </w:p>
    <w:p>
      <w:r>
        <w:t>S'agissant d'une vente immobilière, la doctrine, en référence à de la jurisprudence en matière de défaut, évoque comme défaut la situation d'un bien-fond en zone d'avalanche, un terrain avec une charge de radon trop haute ou une instabilité géologique (HEINRICH HONSELL, in Basler Kommentar, 7e éd. 2020, n. 3 ad art. 197 CO ). Une cause naturelle peut dès lors être à l'origine d'un défaut.</w:t>
      </w:r>
    </w:p>
    <w:p>
      <w:r>
        <w:rPr>
          <w:b/>
        </w:rPr>
        <w:t>E. 4.2</w:t>
      </w:r>
    </w:p>
    <w:p>
      <w:r>
        <w:t>En l'occurrence, antérieurement à la vente, le bien-fonds était exposé à l'effritement d'une paroi sise sur la parcelle no ZZZ acquise par l'intimé. De gros cailloux et des blocs s'étaient déjà détachés de la paroi. Dans ce contexte, après la vente, un bloc d'une centaine de kilos est tombé, ce qui compromet l'utilisation de la piscine et du jardin. Au regard de cet événement concret et des risques de répétition sans sécurisation, il ne fait aucun doute que le bien-fonds ne correspond pas à ce à quoi l'intimé devait de bonne foi pouvoir s'attendre. L'admission d'un défaut au sens de l' art. 197 CO par la cour cantonale ne viole pas le droit fédéral.</w:t>
      </w:r>
    </w:p>
    <w:p>
      <w:r>
        <w:rPr>
          <w:b/>
        </w:rPr>
        <w:t>E. 5</w:t>
      </w:r>
    </w:p>
    <w:p>
      <w:r>
        <w:t>Les recourants invoquent une violation de l' art. 199 CO . Ils nient avoir connu le défaut et considèrent comme valide l'exclusion de garantie.</w:t>
      </w:r>
    </w:p>
    <w:p>
      <w:r>
        <w:rPr>
          <w:b/>
        </w:rPr>
        <w:t>E. 5.1.1</w:t>
      </w:r>
    </w:p>
    <w:p>
      <w:r>
        <w:t>Dans le contrat de vente, les parties peuvent convenir de supprimer ou de restreindre la garantie pour les défauts (arrêts 4A_392/2023 précité consid. 5.5.1; 4A_627/2020 du 24 août 2021 consid. 4.2). Selon l' art. 199 CO , toute clause qui supprime ou restreint la garantie est nulle si le vendeur a frauduleusement dissimulé à l'acheteur les défauts de la chose. La dissimulation frauduleuse peut notamment consister à taire un fait tel que l'absence d'une qualité prévue de la chose vendue, dont la connaissance aurait conduit l'acheteur à ne pas conclure le contrat, ou à le conclure à des conditions différentes de celles convenues (cf. ATF 132 II 161 consid. 4.1; sur l'ensemble de la question: arrêt 4A_70/2011 du 12 avril 2011 consid. 4.1 publié in RNRF 93/2012 p. 300).</w:t>
      </w:r>
    </w:p>
    <w:p>
      <w:r>
        <w:rPr>
          <w:b/>
        </w:rPr>
        <w:t>E. 5.1.2</w:t>
      </w:r>
    </w:p>
    <w:p>
      <w:r>
        <w:t>Le vendeur doit avoir une connaissance effective du défaut; l'ignorance due à une négligence même grave ne suffit pas (arrêts 4A_392/2023 précité consid. 5.1.3; 4A_619/2013 du 20 mai 2014 consid. 4.1; 4A_226/2009 du 20 août 2009 consid. 3.2.3). La connaissance ne doit pas nécessairement être complète ni porter sur tous les détails; il suffit que le vendeur soit suffisamment orienté sur la cause à l'origine du défaut pour que le principe de la bonne foi l'oblige à en informer l'acheteur ( ATF 66 II 132 consid. 6; arrêts 4A_392/2023 précité consid. 5.1.3; 4A_627/2020 du 24 août 2021 consid. 4.2). La dissimulation doit être intentionnelle; le dol éventuel suffit. Le vendeur doit omettre consciemment de communiquer un défaut à l'acheteur tout en sachant qu'il s'agit d'un élément important pour ce dernier (arrêt 4A_301/2010 du 7 septembre 2010 consid. 3.2 publié in SJ 2011 I p. 17).</w:t>
      </w:r>
    </w:p>
    <w:p>
      <w:r>
        <w:rPr>
          <w:b/>
        </w:rPr>
        <w:t>E. 5.1.3</w:t>
      </w:r>
    </w:p>
    <w:p>
      <w:r>
        <w:t>Savoir dans quelles circonstances se sont déroulés les pourparlers, respectivement la conclusion du contrat, et s'il y a eu une quelconque manoeuvre frauduleuse de la part d'une partie relève des constatations de fait (cf. arrêt 4A_217/2009 du 3 novembre 2009 consid. 2.4 et l'arrêt cité). Le fardeau de la preuve de la dissimulation frauduleuse incombe à l'acheteur (cf. ATF 131 III 145 consid. 8.1; arrêts 4A_70/2011 précité consid. 4.1; 4A_217/2009 précité consid. 2.4).</w:t>
      </w:r>
    </w:p>
    <w:p>
      <w:r>
        <w:rPr>
          <w:b/>
        </w:rPr>
        <w:t>E. 5.2</w:t>
      </w:r>
    </w:p>
    <w:p>
      <w:r>
        <w:t>La cour cantonale, se fondant sur des témoignages de voisins attestant de la régularité des éboulements et de la nécessité d'évacuer les gravats ainsi que sur l'intervention du beau-fils des recourants chargé d'évacuer un gros morceau de rocher effondré, a conclu que les recourants savaient nécessairement que la paroi rocheuse s'érodait et provoquait la chute de blocs plus ou moins gros. Compte tenu de l'importance de cet aspect et du risque qu'encourait les occupants de la parcelle no ZZZ, elle a considéré que les recourants auraient dû aviser l'intimé. Faute de l'avoir fait, la clause d'exclusion de garantie n'était pas valable.</w:t>
      </w:r>
    </w:p>
    <w:p>
      <w:r>
        <w:rPr>
          <w:b/>
        </w:rPr>
        <w:t>E. 5.3</w:t>
      </w:r>
    </w:p>
    <w:p>
      <w:r>
        <w:t>Pour l'essentiel, les recourants se contentent de discuter avoir eu connaissance des éboulements et du défaut affectant la paroi. Ils se limitent à quelques affirmations dans une démarche appellatoire, partant irrecevable. Ils n'établissent nullement en quoi la cour cantonale aurait versé dans l'arbitraire en retenant qu'ils avaient connaissance des éboulements.</w:t>
      </w:r>
    </w:p>
    <w:p>
      <w:r>
        <w:rPr>
          <w:b/>
        </w:rPr>
        <w:t>E. 5.4</w:t>
      </w:r>
    </w:p>
    <w:p>
      <w:r>
        <w:t>Au vu des faits retenus impliquant la connaissance par les recourants de fréquents éboulements de blocs de pierre susceptibles de menacer les occupants du bien-fonds no ZZZ, il y lieu de considérer que les vendeurs ont frauduleusement dissimulé aux acheteurs les défauts de la chose, rendant la clause d'exclusion de garantie inopérante. L'application de l' art. 199 CO ne viole pas le droit fédéral.</w:t>
      </w:r>
    </w:p>
    <w:p>
      <w:r>
        <w:rPr>
          <w:b/>
        </w:rPr>
        <w:t>E. 6</w:t>
      </w:r>
    </w:p>
    <w:p>
      <w:r>
        <w:t>Les recourants évoquent la tardiveté de l'avis des défauts.</w:t>
      </w:r>
    </w:p>
    <w:p>
      <w:r>
        <w:rPr>
          <w:b/>
        </w:rPr>
        <w:t>E. 6.1</w:t>
      </w:r>
    </w:p>
    <w:p>
      <w:r>
        <w:t>S'il entend conserver son droit à la garantie des défauts, l'acheteur doit respecter certaines incombances tenant à la vérification de la chose livrée et au signalement des défauts. Lorsque des défauts cachés (que l'acheteur ne pouvait découvrir à l'aide des vérifications usuelles) se révèlent plus tard, l' art. 201 al. 3 CO prescrit de les signaler immédiatement (</w:t>
      </w:r>
    </w:p>
    <w:p>
      <w:r>
        <w:t>sofort nach der Entdeckung ;</w:t>
      </w:r>
    </w:p>
    <w:p>
      <w:r>
        <w:t>subito dopo la scoperta ); sinon la chose sera tenue pour acceptée, même avec ces défauts. Aux termes de la loi, l'acheteur doit agir immédiatement. La jurisprudence lui concède un court délai de réflexion (arrêts 4A_392/2023 précité consid. 5.1.2; 4A_367/2009 du 2 novembre 2009 consid. 1.2; 4C.205/2003 du 17 novembre 2003 consid. 3.2;), tout en soulignant que les circonstances du cas concret, notamment la nature du défaut, sont déterminantes (arrêt 4A_399/2018 du 8 février 2019 consid. 3.2). Il y a découverte d'un défaut lorsque l'acheteur peut constater indubitablement son existence de manière à pouvoir formuler une réclamation suffisamment motivée. Cela suppose que l'acheteur puisse en déterminer le genre et en mesurer l'étendue; tel n'est pas le cas dès l'apparition des premiers signes de défauts évolutifs dans leur étendue ou leur gravité, car cela amènerait l'acheteur à signaler n'importe quelle bagatelle pour éviter d'être déchu de ses droits (arrêt précité 4C.205/2003 consid. 3.2; en matière de contrat d'entreprise, ATF 131 III 145 consid. 7.2; arrêt 4A_293/2017 du 13 février 2018 consid. 2.2.3).</w:t>
      </w:r>
    </w:p>
    <w:p>
      <w:r>
        <w:t>Lorsque l'acheteur ne se conforme pas à son devoir d'avis, la chose vendue est tenue pour acceptée même avec ses défauts ( art. 201 al. 2 et 3 CO ). La loi institue une fiction d'acceptation qui entraîne la péremption de tous les droits de garantie (arrêts 4C.152/2003 du 29 août 2003 consid. 3.1; 4C.205/2003 du 17 novembre 2003 consid. 3.3.2; cf. aussi ATF 114 II 239 consid. 5a/bb).</w:t>
      </w:r>
    </w:p>
    <w:p>
      <w:r>
        <w:t>Dans un cas particulier, le vendeur perd le droit de se prévaloir de la tardiveté de l'avis des défauts. L' art. 203 CO - sous la note marginale "effets du dol du vendeur" - énonce que "le vendeur qui a induit l'acheteur en erreur intentionnellement ne peut se prévaloir du fait que l'avis des défauts n'aurait pas eu lieu en temps utile."Sont visées non seulement les situations où le vendeur a dissuadé l'acheteur de vérifier la chose vendue et de donner l'avis des défauts, mais aussi les hypothèses de tromperies sur les défauts ou les qualités attendues; la fiction d'acceptation de l'ouvrage est alors inapplicable (arrêts 4A_392/2023 précité consid. 5.1.3; 4A_535/2021 du 6 mai 2022 consid. 6.1; 4A_261/2020 du 10 décembre 2020 consid. 7.2.2; 4A_619/2013 précité consid. 4.1; HONSELL, op. cit., n° 1 ad art. 203 CO ).</w:t>
      </w:r>
    </w:p>
    <w:p>
      <w:r>
        <w:rPr>
          <w:b/>
        </w:rPr>
        <w:t>E. 6.2</w:t>
      </w:r>
    </w:p>
    <w:p>
      <w:r>
        <w:t>En l'espèce, outre le silence des recourants qui conduit à l'application de l' art. 203 CO et exclut donc que ceux-ci puissent se prévaloir d'une tardiveté de l'avis, il apparaît que l'intimé a écrit aux recourants le 17 juillet 2017 pour signaler la chute le jour-même d'un bloc de 100 kilos et qu'il avait appris le jour en question d'un employé communal venu sur place pour un constat qu'il avait déjà établi dans le passé un rapport préconisant de sécuriser l'endroit. L'intimé s'est ainsi prévalu d'un vice grave caché auprès des recourants. Dans cette configuration, aucun retard ne peut être reproché à l'intimé.</w:t>
      </w:r>
    </w:p>
    <w:p>
      <w:r>
        <w:rPr>
          <w:b/>
        </w:rPr>
        <w:t>E. 7</w:t>
      </w:r>
    </w:p>
    <w:p>
      <w:r>
        <w:t>Les recourants sont d'avis que le dommage n'est pas établi.</w:t>
      </w:r>
    </w:p>
    <w:p>
      <w:r>
        <w:rPr>
          <w:b/>
        </w:rPr>
        <w:t>E. 7.1</w:t>
      </w:r>
    </w:p>
    <w:p>
      <w:r>
        <w:t>Dire s'il y a eu dommage et quelle en est la quotité est une question de fait qui lie en principe le Tribunal fédéral ( art. 105 al. 1 et 2 LTF ). C'est en revanche une question de droit de dire si la notion juridique de dommage a été méconnue ( ATF 132 III 564 consid. 6.2; 130 III 145 consid. 6.2; arrêts 4A_107/2023 du 3 novembre 2023 consid. 4.1).</w:t>
      </w:r>
    </w:p>
    <w:p>
      <w:r>
        <w:rPr>
          <w:b/>
        </w:rPr>
        <w:t>E. 7.2</w:t>
      </w:r>
    </w:p>
    <w:p>
      <w:r>
        <w:t>La cour cantonale a indiqué que les recourants ne contestaient pas le montant alloué en réparation du dommage. L'argumentaire des recourants n'est guère intelligible. Ils prétendent avoir contesté le dommage en répondant "rapport soit à l'expertise" à l'allégué 160 de l'intimé selon lequel le coût de la sécurisation s'élevait à 155'500 fr., soit le montant ressortant de l'expertise. Il n'y a là aucune contestation. De surcroît les recourants n'établissent pas avoir soulevé un grief mettant en cause le dommage devant la cour d'appel de sorte que leur grief devant la cour de céans est irrecevable faute d'épuisement des instances (supra consid. 2.1). Quoi qu'il en soit, le montant du dommage retenu correspond à celui indiqué par l'expert de sorte qu'il échappe à tout arbitraire dans l'établissement des faits.</w:t>
      </w:r>
    </w:p>
    <w:p>
      <w:r>
        <w:rPr>
          <w:b/>
        </w:rPr>
        <w:t>E. 8</w:t>
      </w:r>
    </w:p>
    <w:p>
      <w:r>
        <w:t>Les recourants relèvent qu'ils étaient propriétaires pour moitié chacun de la parcelle n° ZZZ et que c'est à tort qu'ils ont été condamnés solidairement à s'acquitter de l'entier du montant alloué.</w:t>
      </w:r>
    </w:p>
    <w:p>
      <w:r>
        <w:t>L'arrêt attaqué n'aborde pas cet aspect. Les recourants n'établissent ni ne prétendent avoir soulevé un tel grief devant la cour cantonale. Leur grief est ainsi irrecevable faute d'épuisement des instances (supra consid. 2.1).</w:t>
      </w:r>
    </w:p>
    <w:p>
      <w:r>
        <w:rPr>
          <w:b/>
        </w:rPr>
        <w:t>E. 9</w:t>
      </w:r>
    </w:p>
    <w:p>
      <w:r>
        <w:t>Le recours doit être rejeté dans la mesure de sa recevabilité. Les recourants supportent les frais de procédure ( art. 66 al. 1 LTF ) et doivent verser des dépens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