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4A_461/2021 vom 27. Oktober 2021</w:t>
      </w:r>
    </w:p>
    <w:p>
      <w:r>
        <w:t>Bundesgericht, 2021-10-27, DE</w:t>
      </w:r>
    </w:p>
    <w:p>
      <w:r>
        <w:rPr>
          <w:b/>
        </w:rPr>
        <w:t xml:space="preserve">Quelle: </w:t>
      </w:r>
      <w:r>
        <w:t>https://mcp.opencaselaw.ch/entscheid/bger_4A_461_2021</w:t>
      </w:r>
    </w:p>
    <w:p>
      <w:r>
        <w:t>FR: TF 4A_461/2021 du 27 octobre 2021</w:t>
      </w:r>
    </w:p>
    <w:p>
      <w:r>
        <w:t>IT: TF 4A_461/2021 del 27 ottobre 2021</w:t>
      </w:r>
    </w:p>
    <w:p>
      <w:pPr>
        <w:pStyle w:val="Heading2"/>
      </w:pPr>
      <w:r>
        <w:t>Erwägungen</w:t>
      </w:r>
    </w:p>
    <w:p>
      <w:r>
        <w:rPr>
          <w:b/>
        </w:rPr>
        <w:t>E. 1</w:t>
      </w:r>
    </w:p>
    <w:p>
      <w:r>
        <w:t>Das Bundesgericht prüft von Amtes wegen und mit freier Kognition, ob ein Rechtsmittel zulässig ist ( Art. 29 Abs. 1 BGG ; BGE 143 III 140 E. 1 S. 143; 141 III 395 E. 2.1 S. 397).</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interne Schiedsgerichtsbarkeit gemäss dem 3. Teil der Schweizerischen Zivilprozessordnung ( Art. 353 ff. ZPO ).</w:t>
      </w:r>
    </w:p>
    <w:p>
      <w:r>
        <w:t>Von der durch Art. 390 Abs. 1 ZPO eingeräumten Möglichkeit, als Rechtsmittelinstanz ein kantonales Gericht zu bezeichnen, wurde kein Gebrauch gemacht. Der ergangene Schiedsspruch unterliegt somit der Beschwerde an das Bundesgericht ( Art. 389 Abs. 1 ZPO und Art. 77 Abs. 1 lit. b BGG ).</w:t>
      </w:r>
    </w:p>
    <w:p>
      <w:r>
        <w:rPr>
          <w:b/>
        </w:rPr>
        <w:t>E. 1.2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4A_660/2020 vom 15. Februar 2021 E. 2.2; 4A_124/2020 vom 13. November 2020 E. 2.1; 4A_418/2019 vom 18. Mai 2020 E. 2.3).</w:t>
      </w:r>
    </w:p>
    <w:p>
      <w:r>
        <w:t>Der Antrag der Beschwerdeführerin auf Aufhebung des angefochtenen Schiedsspruchs und Rückweisung der Sache an das Schiedsgericht ist zulässig. Soweit sie demgegenüber beantragt, das Bundesgericht habe in der Sache selbst zu entscheiden, ist ihr Antrag unzulässig.</w:t>
      </w:r>
    </w:p>
    <w:p>
      <w:r>
        <w:rPr>
          <w:b/>
        </w:rPr>
        <w:t>E. 1.3</w:t>
      </w:r>
    </w:p>
    <w:p>
      <w:r>
        <w:t>Die Beschwerdegründe gegen einen Schiedsspruch sind im Vergleich zu denjenigen gegen ein staatliches Urteil eingeschränkt; für der ZPO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ist im Detail aufzuzeigen, warum die angerufenen Beschwerdegründe erfüllt sind, wobei die Kritik an den als rechtsfehlerhaft erachteten Erwägungen des Schiedsgerichts anzusetzen hat (Urteile 4A_35/2020 vom 15. Mai 2020 E. 1.3; 4A_224/2019 vom 11. November 2019 E. 1.2; 4A_338/2018 vom 28. November 2018 E. 1.2).</w:t>
      </w:r>
    </w:p>
    <w:p>
      <w:r>
        <w:rPr>
          <w:b/>
        </w:rPr>
        <w:t>E. 1.4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 4A_35/2020 vom 15. Mai 2020 E. 1.4 mit Hinweisen; vgl. auch BGE 140 III 86 E. 2 mit Hinweisen).</w:t>
      </w:r>
    </w:p>
    <w:p>
      <w:r>
        <w:rPr>
          <w:b/>
        </w:rPr>
        <w:t>E. 1.5</w:t>
      </w:r>
    </w:p>
    <w:p>
      <w:r>
        <w:t>Die Beschwerdeführerin verkennt diese Grundsätze über weite Strecken. Sie stellt die Hintergründe des Rechtsstreits wie auch den Ablauf des Verfahrens verschiedentlich aus eigener Sicht dar und beruft sich teilweise in unzulässiger Weise auf neu eingereichte Unterlagen. Dabei weicht sie mehrheitlich in unzulässiger Weise von den tatsächlichen Feststellungen im angefochtenen Entscheid ab, ohne eine hinreichende Sachverhaltsrüge zu erheben. So behauptet sie etwa, die Beschwerdegegnerin 2 habe sich überhaupt nicht zur Frage der Zuständigkeit geäussert, weshalb von einer Einlassung auszugehen sei. An anderer Stelle beruft sie sich darauf, dass der Gemeindepräsident der Beschwerdegegnerin 1 während einer bestimmten Zeitperiode auch Organ der Beschwerdegegnerinnen 2 und 3 gewesen sei. Die entsprechenden Vorbringen haben unbeachtet zu bleiben.</w:t>
      </w:r>
    </w:p>
    <w:p>
      <w:r>
        <w:rPr>
          <w:b/>
        </w:rPr>
        <w:t>E. 2</w:t>
      </w:r>
    </w:p>
    <w:p>
      <w:r>
        <w:t>Die Beschwerdeführerin wirft dem Schiedsgericht in verschiedener Hinsicht Willkür ( Art. 393 lit. e ZPO ) sowie eine Verletzung des Grundsatzes der Gleichbehandlung der Parteien und des Grundsatzes des rechtlichen Gehörs ( Art. 393 lit. d ZPO ) vor.</w:t>
      </w:r>
    </w:p>
    <w:p>
      <w:r>
        <w:rPr>
          <w:b/>
        </w:rPr>
        <w:t>E. 2.1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Willkürtatbestands in Art. 393 lit. e ZPO stimmt mit dem Begriff der Willkür überein, den das Bundesgericht zu Art. 9 BV entwickelt hat ( BGE 131 I 45 E. 3.4 S. 48). Die Tatbestände, hinsichtlich derer Willkür im genannten Sinn geltend gemacht werden kann, sind jedoch eingeschränkt:</w:t>
      </w:r>
    </w:p>
    <w:p>
      <w:r>
        <w:t>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Urteile 4A_35/2020 vom 15. Mai 2020 E. 3.1; 4A_338/2018 vom 28. November 2018 E. 2; 4A_356/2017 vom 3. Januar 2018 E. 3.1).</w:t>
      </w:r>
    </w:p>
    <w:p>
      <w:r>
        <w:t>Mit offensichtlicher Verletzung des Rechts gemäss Art. 393 lit. e ZPO ist nur eine Verletzung des materiellen Rechts gemeint und nicht eine solche des Verfahrensrechts ( BGE 142 III 284 E. 3.2 ; 131 I 45 E. 3.4; 112 Ia 350 E. 2b; Urteile 4A_58/2020 vom 3. Juni 2020 E. 4.1; 4A_395/2019 vom 2. März 2020 E. 4.1). Vorbehalten bleiben in Analogie zur Rechtsprechung zu Art. 190 Abs. 2 lit. e IPRG Prozessfehler, die den verfahrensrechtlichen Ordre public verletzen ( BGE 142 III 284 E. 3.2; Urteile 4A_58/2020, a.a.O., E. 4.1; 4A_152/2019 vom 5. Juni 2019 E. 4.1; 4A_338/2018 vom 28. November 2018 E. 2; je mit Hinweisen).</w:t>
      </w:r>
    </w:p>
    <w:p>
      <w:r>
        <w:rPr>
          <w:b/>
        </w:rPr>
        <w:t>E. 2.2</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 BGE 142 III 284 E. 4.1 mit Hinweisen).</w:t>
      </w:r>
    </w:p>
    <w:p>
      <w:r>
        <w:t>Danach entspricht der Anspruch der Parteien auf rechtliches Gehör im Schiedsverfahren im Wesentlichen dem in Art. 29 Abs. 2 BV gewährleisteten Verfassungsrecht ( BGE 142 III 284 E. 4.1 S. 288; 130 III 35 E. 5;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147 III 379 E. 3.1; 142 III 360 E. 4.1.1; 130 III 35 E. 5; 127 III 576 E. 2c; je mit Hinweisen). Dem entspricht eine Pflicht des Schiedsgerichts, die rechtserheblichen Vorbringen der Parteien tatsächlich zu hören und zu prüfen. Das bedeutet jedoch nicht, dass es sich ausdrücklich mit jedem Argument der Parteien auseinandersetzen muss (vgl. BGE 133 III 235 E. 5.2; 121 III 331 E. 3b).</w:t>
      </w:r>
    </w:p>
    <w:p>
      <w:r>
        <w:t>Der Anspruch auf Gleichbehandlung gebietet, dass das Schiedsgericht die Parteien in allen Verfahrensabschnitten gleich behandelt ( BGE 133 III 139 E. 6.1) und nicht der einen Partei gewährt, was der anderen verwehrt wird ( BGE 147 III 379 E. 3.1; Urteile 4A_74/2019 vom 31. Juli 2019 E. 3.1; 4A_80/2017 vom 25. Juli 2017 E. 3.1.2). Beiden Parteien muss die gleiche Möglichkeit eingeräumt werden, im Prozess ihren Standpunkt zu vertreten ( BGE 147 III 379 E. 3.1; 142 III 360 E. 4.1.1).</w:t>
      </w:r>
    </w:p>
    <w:p>
      <w:r>
        <w:rPr>
          <w:b/>
        </w:rPr>
        <w:t>E. 2.3</w:t>
      </w:r>
    </w:p>
    <w:p>
      <w:r>
        <w:t>Die Beschwerdeführerin verkennt die eingeschränkte Tragweite des Beschwerdegrunds gemäss Art. 393 lit. e ZPO : So wirft sie dem Schiedsgericht verschiedentlich Willkür bei der Feststellung des Sachverhalts vor, ohne jedoch hinreichend aufzuzeigen, inwiefern es sich infolge Versehens mit den Akten in Widerspruch gesetzt haben soll. Zudem lässt sie ausser Acht, dass damit nur eine Verletzung des materiellen Rechts gerügt werden kann, nicht jedoch eine solche des Verfahrensrechts. Mit ihrer verschiedentlich geübten Kritik am Ablauf des Verfahrens und der schiedsgerichtlichen Verfahrensführung, so insbesondere hinsichtlich der beantragten vorsorglichen Massnahmen, erhebt sie keine nach Art. 393 ZPO zulässige Rügen. Ins Leere stösst zudem das Vorbringen, das Schiedsgericht habe ihre Einleitungsanzeige vom 4. Mai 2020 wie auch die Einleitungsantworten der Beschwerdegegnerinnen vom 26./30. Juni 2020 in Verletzung von Artikel 18 ff. der Swiss Rules als vollständige Rechtsschriften behandelt.</w:t>
      </w:r>
    </w:p>
    <w:p>
      <w:r>
        <w:t>Auch mit der im gleichen Zusammenhang erhobenen Rüge der Verletzung des rechtlichen Gehörs ( Art. 393 lit. d ZPO ) dringt die Beschwerdeführerin nicht durch. Ihr wurde mit Verfügung vom 19. Januar 2021 eigens Frist angesetzt, um sich zu der von den Beschwerdegegnerinnen erhobenen Unzuständigkeitseinrede zu äussern. Damit wurde der Gehörsanspruch der Beschwerdeführerin gewahrt. Entgegen ihrer Ansicht musste sie zudem damit rechnen, dass das Schiedsgericht die Frage der objektiven Tragweite der Schiedsvereinbarung in Ziffer 10 des Projektvertrags 2010 prüfen und dabei die Grundlage der geltend gemachten Ansprüche, mithin das angeblich bestehende Gesellschaftsverhältnis ( Art. 530 ff. OR ) thematisieren würde. Der Vorwurf der Gehörsverletzung erweist sich auch in dieser Hinsicht als unbegründet.</w:t>
      </w:r>
    </w:p>
    <w:p>
      <w:r>
        <w:t>Im Zusammenhang mit der schiedsgerichtlichen Anordnung zur Verfahrenssprache (Deutsch als Verfahrenssprache, wobei den Parteien die Möglichkeit eingeräumt wurde, Rechtsschriften auf Italienisch einzureichen), wirft die Beschwerdeführerin dem Schiedsgericht eine Verletzung der prozessualen Waffengleichheit vor. Abgesehen davon, dass sie dabei zu Unrecht davon ausgeht, das Schiedsgericht hätte verfügt, dass Rechtsschriften in italienischer Sprache zwingend mit einer deutschen Übersetzung eingereicht werden müssten, vermag sie nicht aufzuzeigen, inwiefern in der schiedsgerichtlichen Regelung eine verfahrensrechtliche Ungleichbehandlung zu erblicken wäre. Der Umstand, dass einer Partei aufgrund der zulässigen Verwendung einer Sprache durch die Gegenpartei im Schiedsverfahren gegebenenfalls Aufwand für Übersetzungen entstehen kann, stellt keine nach Art. 393 lit. d ZPO verpönte Ungleichbehandlung dar.</w:t>
      </w:r>
    </w:p>
    <w:p>
      <w:r>
        <w:rPr>
          <w:b/>
        </w:rPr>
        <w:t>E. 3</w:t>
      </w:r>
    </w:p>
    <w:p>
      <w:r>
        <w:t>Unverständlich ist der unter Berufung auf Art. 393 lit. c ZPO geäusserte Vorwurf, das Rechtsbegehren nach Antrags-Ziffer 3 sei unbeurteilt geblieben. Das Schiedsgericht ist mangels Zuständigkeit auf die Schiedsklage insgesamt nicht eingetreten. Davon ist auch Antrags-Ziffer 3 erfasst, die im Übrigen - entgegen dem, was die Beschwerdeführerin anzunehmen scheint - ebenfalls Ansprüche aus dem behaupteten Gesellschaftsverhältnis betrifft.</w:t>
      </w:r>
    </w:p>
    <w:p>
      <w:r>
        <w:rPr>
          <w:b/>
        </w:rPr>
        <w:t>E. 4</w:t>
      </w:r>
    </w:p>
    <w:p>
      <w:r>
        <w:t>Die Beschwerdeführerin bringt vor, die Streitsache sei entgegen dem angefochtenen Entscheid von der Schiedsvereinbarung in Ziffer 10 des Projektvertrags 2010 erfasst, weshalb sich das Schiedsgericht zu Unrecht für unzuständig erklärt habe ( Art. 393 lit. b ZPO ).</w:t>
      </w:r>
    </w:p>
    <w:p>
      <w:r>
        <w:rPr>
          <w:b/>
        </w:rPr>
        <w:t>E. 4.1</w:t>
      </w:r>
    </w:p>
    <w:p>
      <w:r>
        <w:t>Zur Bestimmung der Tragweite der Schiedsvereinbarung ist diese auszulegen. Dabei ist den für die Auslegung privater Willenserklärungen allgemein geltenden Grundsätzen zu folgen. Massgebend ist danach in erster Linie der übereinstimmende tatsächliche Wille der Parteien. Kann ein solcher nicht festgestellt werden, ist die Schiedsvereinbarung nach dem Vertrauensprinzip auszulegen, das heisst der mutmassliche Parteiwille ist so zu ermitteln, wie er vom jeweiligen Erklärungsempfänger nach den gesamten Umständen nach Treu und Glauben verstanden werden durfte und musste (vgl. dazu BGE 147 III 107 E. 3.1.2; 142 III 239 E. 5.2.1; 140 III 134 E. 3.1).</w:t>
      </w:r>
    </w:p>
    <w:p>
      <w:r>
        <w:rPr>
          <w:b/>
        </w:rPr>
        <w:t>E. 4.2</w:t>
      </w:r>
    </w:p>
    <w:p>
      <w:r>
        <w:t>Die Beschwerdeführerin vermag mit ihren Ausführungen nicht aufzuzeigen, inwiefern das Schiedsgericht diese Auslegungsgrundsätze verletzt hätte. Es hat in Übereinstimmung mit der bundesgerichtlichen Rechtsprechung geprüft, ob die eingeklagten Ansprüche aus dem angeblich zwischen den Parteien bestehenden Gesellschaftsverhältnis von der objektiven Tragweite der Schiedsvereinbarung in Ziffer 10 des Projektvertrags 2010 gedeckt ist. Dabei hat es nachvollziehbar den genauen Vertragsinhalt und -zweck sowie die jeweiligen vertraglichen Verpflichtungen untersucht und festgestellt, dass die "Hauptpflicht des Veräusserers" in der Einräumung bzw. Abtretung eines Kaufsrechts besteht, wobei die als "Erwerberin" bezeichnete Klägerin einen Betrag von Fr. 1.65 Mio. "als Gegenleistung" zu bezahlen hatte. Das Schiedsgericht erwog zutreffend, dass die beiden Vertragsleistungen in einem synallagmatischen Verhältnis stehen, was gegen die Begründung einer einfachen Gesellschaft im Sinne von Art. 530 Abs. 1 OR spricht (zur Abgrenzung zu synallagmatischen Verträgen etwa Urteile 4A_377/2018 vom 5. Juli 2019 E. 4.1; 4A_526/2018 vom 4. April 2019 E. 3.5.1; 4A_477/2017 vom 11. Januar 2018 E. 4.1). Ausserdem hat es zu Recht darauf hingewiesen, dass nach den Vorbringen der Beschwerdeführerin alle drei Beschwerdegegnerinnen als solidarisch haftende Mitgesellschafterinnen an dem angeblich mit dem Projektvertrag 2010 begründeten Gesellschaftsverhältnis beteiligt sein sollen, darin jedoch nur der synallagmatisch verpflichtete "Veräusserer" als Gegenpartei aufgeführt wird.</w:t>
      </w:r>
    </w:p>
    <w:p>
      <w:r>
        <w:t>Entgegen dem, was die Beschwerdeführerin anzunehmen scheint, hat das Schiedsgericht nicht etwa dafürgehalten, dass Vertraulichkeitsklauseln ein gesellschaftsrechtliches Verhältnis generell ausschliessen würden. Vielmehr hat es nachvollziehbar darauf hingewiesen, dass die vereinbarte Vertraulichkeit auch gegenüber den beiden übrigen Beschwerdegegnerinnen gelte, die den Projektvertrag 2010 nicht unterzeichnet haben, was gegen die Begründung einer einfachen Gesellschaft mit diesen Parteien spreche. Ebenso wenig hat das Schiedsgericht verkannt, dass es zur Entstehung einer einfachen Gesellschaft nicht in jedem Fall einer bewussten Gesellschaftsbildung bedarf (vgl. BGE 124 III 363 E. II.2.a). Die Beschwerdeführerin hätte die tatsächlichen Grundlagen für einen konkludenten Abschluss eines Gesellschaftsvertrags jedoch im Schiedsverfahren behaupten und nachweisen müssen.</w:t>
      </w:r>
    </w:p>
    <w:p>
      <w:r>
        <w:t>Mit ihrem Hinweis auf eine "Gesamtbeurteilung" des Projektvertrags 2010, der Convenzione 2014 und des Diritto di compera 2017 verkennt die Beschwerdeführerin, dass vorliegend einzig die Tragweite der in Ziffer 10 des Projektvertrags 2010 enthaltenen Schiedsklausel zu beurteilen ist, während die beiden nachfolgenden Verträge jeweils eine Gerichtsstandsklausel zugunsten staatlicher Gerichte enthalten. Im Übrigen lässt sich weder aus der blossen Verwendung des Begriffs "Projekt" noch aus den in der Beschwerde zitierten Passagen des Projektvertrags 2010 eine vertragsmässige Verbindung zur Erreichung eines gemeinsamen Zwecks mit gemeinsamen Kräften oder Mitteln ( Art. 530 Abs. 1 OR ) ableiten. Die von der Beschwerdeführerin erwähnte Passage in der Präambel spricht im Gegenteil gerade gegen eine gemeinsame Zweckverfolgung ("</w:t>
      </w:r>
    </w:p>
    <w:p>
      <w:r>
        <w:t>Ziel der Erwerberin [Beschwerdeführerin] ist es, die bestehende Infrastruktur der Thermalquellen in U.________ zu übernehmen und diese mit einem Hotelbetrieb, einem medizinischen Zentrum sowie einem Thermal-Spa zu erweitern und folglich auch zu betreiben [Hervorhebung hinzugefügt]."). Auch der ins Feld geführte Umstand, dass Ziffer 1.6 des Projektvertrags 2010 gewisse Bedingungen bzw. Zusicherungen hinsichtlich behördlicher Vorgänge wie Zonenplan- und Baubewilligungen enthält, spricht nicht für einen Gesellschaftsvertrag; solche sind vielmehr übliche Bestandteile von Kaufverträgen, die - direkt oder indirekt - Immobilien betreffen. An der Qualifikation des Projektvertrags 2010 als Austauschvertrag vermag auch die in Ziffer 1.7 vorgesehene Exklusivität oder die zeitliche Befristung von Rechten und Pflichten aus dem Vertrag nach Ziffer 3 nichts zu ändern.</w:t>
      </w:r>
    </w:p>
    <w:p>
      <w:r>
        <w:t>Insgesamt vermag die Beschwerdeführerin die schiedsgerichtliche Beurteilung der objektiven Tragweite der fraglichen Schiedsvereinbarung nicht als bundesrechtswidrig auszuweisen. Waren die geltend gemachten Ansprüche von der Schiedsklausel nicht erfasst, hat das Schiedsgericht seine Zuständigkeit zu Recht verneint. Fehlte es bereits aus objektiven Gründen an der Zuständigkeit zur Beurteilung der eingeklagten Ansprüche, musste das Schiedsgericht auf die Frage der Gebundenheit der Beschwerdegegnerinnen an die Schiedsklausel, geschweige denn deren Passivlegitimation, nicht weiter eingehen. Ausführungen dazu erübrigen sich daher auch im bundesgerichtlichen Beschwerdeverfahren.</w:t>
      </w:r>
    </w:p>
    <w:p>
      <w:r>
        <w:rPr>
          <w:b/>
        </w:rPr>
        <w:t>E. 5</w:t>
      </w:r>
    </w:p>
    <w:p>
      <w:r>
        <w:t>Die Beschwerde ist abzuweisen, soweit darauf eingetreten werden kann. Mit dem Entscheid in der Sache wird das Gesuch der Beschwerdeführerin um Erlass vorsorglicher Massnahmen gegenstandslos.</w:t>
      </w:r>
    </w:p>
    <w:p>
      <w:r>
        <w:t>Dem Ausgang des Verfahrens entsprechend wird die Beschwerdeführerin kostenpflichtig ( Art. 66 Abs. 1 BGG ). Den Beschwerdegegnerinnen wird keine Parteientschädigung zugesprochen,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