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4A_459/2011 vom 5. Oktober 2011</w:t>
      </w:r>
    </w:p>
    <w:p>
      <w:r>
        <w:t>Bundesgericht, 2011-10-05, DE</w:t>
      </w:r>
    </w:p>
    <w:p>
      <w:r>
        <w:rPr>
          <w:b/>
        </w:rPr>
        <w:t xml:space="preserve">Quelle: </w:t>
      </w:r>
      <w:r>
        <w:t>https://mcp.opencaselaw.ch/entscheid/bger_4A_459_2011</w:t>
      </w:r>
    </w:p>
    <w:p>
      <w:r>
        <w:t>FR: TF 4A_459/2011 du 5 octobre 2011</w:t>
      </w:r>
    </w:p>
    <w:p>
      <w:r>
        <w:t>IT: TF 4A_459/2011 del 5 ottobre 2011</w:t>
      </w:r>
    </w:p>
    <w:p>
      <w:pPr>
        <w:pStyle w:val="Heading2"/>
      </w:pPr>
      <w:r>
        <w:t>Erwägungen</w:t>
      </w:r>
    </w:p>
    <w:p>
      <w:r>
        <w:rPr>
          <w:b/>
        </w:rPr>
        <w:t>E. 1</w:t>
      </w:r>
    </w:p>
    <w:p>
      <w:r>
        <w:t>Angefochten ist ein kantonal letztinstanzlicher Entscheid ( Art. 6 ZPO ; Art. 75 Abs. 1 BGG ), mit dem die unentgeltliche Rechtspflege mangels nachgewiesener Bedürftigkeit verweigert wurde. Es handelt sich um einen Zwischenentscheid, der einen nicht wieder gutzumachenden Nachteil bewirken kann ( Art. 93 Abs. 1 lit. a BGG ; BGE 129 I 129 E. 1.1 S. 131 mit Hinweis). Nach dem Grundsatz der Einheit des Verfahrens sind Zwischenentscheide mit dem in der Hauptsache zulässigen Rechtsmittel anzufechten ( BGE 133 III 645 E. 2.2 S. 647 f.). Da der Streitwert der Hauptsache die Streitwertgrenze von Fr. 30'000.-- ( Art. 74 Abs. 1 lit. b BGG ) erreicht, ist die Beschwerde in Zivilsachen gegeben.</w:t>
      </w:r>
    </w:p>
    <w:p>
      <w:r>
        <w:rPr>
          <w:b/>
        </w:rPr>
        <w:t>E. 1.1</w:t>
      </w:r>
    </w:p>
    <w:p>
      <w:r>
        <w:t>Nach Art. 117 ff. ZPO hat eine Person Anspruch auf unentgeltliche Rechtspflege, wenn sie nicht über die für die Prozessführung erforderlichen Mittel verfügt (lit. a) und ihr Rechtsbegehren nicht aussichtslos erscheint (lit. b). Damit wird der verfassungsrechtliche Anspruch nach Art. 29 Abs. 3 BV ( BGE 129 I 129 E. 2.1 S. 133) auf Gesetzesstufe gewährleistet. Wer diese Bedingungen erfüllt, hat ausserdem Anspruch auf unentgeltlichen Rechtsbeistand, soweit dies zur Wahrung der Rechte notwendig ist ( Art. 118 Abs. 1 lit. c ZPO ).</w:t>
      </w:r>
    </w:p>
    <w:p>
      <w:r>
        <w:rPr>
          <w:b/>
        </w:rPr>
        <w:t>E. 1.2</w:t>
      </w:r>
    </w:p>
    <w:p>
      <w:r>
        <w:t>Nach der Rechtsprechung des Bundesgerichts zu Art. 29 Abs. 3 BV , welche auch unter Geltung der ZPO Gültigkeit behält (Botschaft zur Schweizerischen Zivilprozessordnung [ZPO] vom 28. Juni 2006, BBl 2006 7302, Ziff. 5.8.4 zu Art. 115 E-ZPO), ist ein Gesuchsteller bedürftig, der die Leistung der erforderlichen Prozess- und Parteikosten nur erbringen kann, wenn er die Mittel angreift, deren er zur Deckung des Grundbedarfs für sich und seine Familie bedarf ( BGE 135 I 221 E. 5.1 S. 223 mit Hinweisen). Prozessarmut ist mithin gegeben, wenn die betreffende Person nicht über die notwendigen Mittel (Einkommen und Vermögen) verfügt, um ohne erhebliche Beeinträchtigung ihrer Existenz für die Prozesskosten aufzukommen (Botschaft ZPO, BBl 2006 7301, Ziff. 5.8.4 zu Art. 115 E-ZPO).</w:t>
      </w:r>
    </w:p>
    <w:p>
      <w:r>
        <w:rPr>
          <w:b/>
        </w:rPr>
        <w:t>E. 1.3</w:t>
      </w:r>
    </w:p>
    <w:p>
      <w:r>
        <w:t>Zur Prüfung der Bedürftigkeit sind sämtliche Umstände im Zeitpunkt der Einreichung des Gesuches zu würdigen; die entscheidende Behörde hat insbesondere zu berücksichtigen, welche Mittel binnen welcher Frist aufzubringen sind.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des Prozesses erforderlich sind ( BGE 120 Ia 179 E. 3a S. 181 ; 135 I 221 E. 5.1 S. 223 f.).</w:t>
      </w:r>
    </w:p>
    <w:p>
      <w:r>
        <w:rPr>
          <w:b/>
        </w:rPr>
        <w:t>E. 1.4</w:t>
      </w:r>
    </w:p>
    <w:p>
      <w:r>
        <w:t>Die gesuchstellende Person hat ihre Einkommens- und Vermögensverhältnisse schlüssig darzulegen ( Art. 119 Abs. 2 ZPO ; Botschaft ZPO, BBl 2006 7303, Ziff. 5.8.4 zu Art. 117 E-ZPO). Es obliegt mithin grundsätzlich dem Gesuchsteller, seine Einkommens- und Vermögensverhältnisse umfassend darzustellen und soweit möglich auch zu belegen. Dabei dürfen um 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verneint werden ( BGE 120 Ia 179 E. 3a S. 181 f.; Urteil des Bundesgerichts 5P.426/2002 vom 17. Januar 2003 E. 4.2 mit Hinweisen, in: Pra 92/2003 Nr. 170 S. 927 ff., S. 930 f.).</w:t>
      </w:r>
    </w:p>
    <w:p>
      <w:r>
        <w:rPr>
          <w:b/>
        </w:rPr>
        <w:t>E. 1.5</w:t>
      </w:r>
    </w:p>
    <w:p>
      <w:r>
        <w:t>Hinsichtlich der Voraussetzung der Bedürftigkeit des Gesuchstellers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Mit Bezug auf die Beweiswürdigung ist die Prüfung für die Frage der Bedürftigkeit mithin auf Willkür beschränkt ( BGE 135 I 221 E. 5.1 S. 223 mit Hinweis).</w:t>
      </w:r>
    </w:p>
    <w:p>
      <w:r>
        <w:rPr>
          <w:b/>
        </w:rPr>
        <w:t>E. 2</w:t>
      </w:r>
    </w:p>
    <w:p>
      <w:r>
        <w:t>Die Vorinstanz hat das Gesuch um unentgeltliche Rechtspflege abgewiesen, da der Beschwerdeführer seine Vermögensverhältnisse nicht hinreichend dargelegt habe. Sie wirft ihm mithin eine Verletzung seiner Mitwirkungsobliegenheiten nach Art. 119 Abs. 2 ZPO vor. Um aufzuzeigen, dass der angefochtene Entscheid Recht verletzt, müsste der Beschwerdeführer daher in erster Linie mit Aktenhinweisen aufzeigen, dass er seiner Obliegenheit zur Mitwirkung im kantonalen Verfahren hinreichend nachgekommen ist.</w:t>
      </w:r>
    </w:p>
    <w:p>
      <w:r>
        <w:rPr>
          <w:b/>
        </w:rPr>
        <w:t>E. 2.1</w:t>
      </w:r>
    </w:p>
    <w:p>
      <w:r>
        <w:t>Mit Verfügung vom 4. Februar 2011 war der Beschwerdeführer aufgefordert worden, seine aktuellen Einkommens- und Vermögensverhältnisse darzulegen und namentlich auch den Abfluss des vormals vorhandenen Vermögens nachvollziehbar zu machen. Dass der Beschwerdeführer dieser Aufforderung hinreichend nachgekommen ist, vermag er dem Bundesgericht nicht aufzuzeigen. Mit Bezug auf die Sicherstellung der Parteientschädigung macht er geltend, er habe seinen gesamten Wohnungshausrat im Werte von Fr. 34'300.-- in der Schweiz eingelagert, und die Beschwerdegegnerin habe immer behauptet, er sei unterversichert und müsse eigentlich einen Hausrat von Fr. 600'000.-- bis 700'000.-- haben. Zudem werde er im Rahmen der Scheidung noch zusätzliche Hausratsgegenstände im Wert von ca. Fr. 20'000.-- herausverlangen. Der Beschwerdeführer scheint davon auszugehen, es handle sich beim Hausrat um in der Zwangsvollstreckung verwertbare Vermögenswerte, was bedingt, dass ihnen kein Kompetenzcharakter zukommt. Sofern der Beschwerdeführer für seine Lebensführung nicht auf die entsprechenden Gegenstände angewiesen ist, hätte er sie und allfällige weitere Vermögenswerte in die Darstellung seines Vermögens einbeziehen müssen. Dass er dies getan hat, zeigt er vor Bundesgericht nicht hinreichend auf. Auch ist die Annahme der Vorinstanz nicht geradezu willkürlich, es sei angesichts der vom Beschwerdeführer behaupteten Tätigkeit im Hedge-Funds-Bereich unglaubwürdig, dass er kein Bankkonto besitze. Soweit der Beschwerdeführer ausführt, ein auf ihn lautendes Guthaben von USD 275'000.-- sei an die Kreditlinie angerechnet worden, verkennt er, dass er gemäss Verfügung vom 4. Februar 2011 bereits vor der Vorinstanz hätte darlegen müssen, worum es bei der Sicherung der Kreditlimite überhaupt ging, was nähere Ausführungen und Belege zur Schuld bedingt hätte, die schliesslich getilgt wurde. Der Nachweis, dass kein Kredit mehr besteht, genügt dazu nicht, wobei die nachgereichte Bestätigung vom 3. August 2011 ohnehin erst nach dem angefochtenen Entscheid entstand und insoweit unbeachtlich ist.</w:t>
      </w:r>
    </w:p>
    <w:p>
      <w:r>
        <w:rPr>
          <w:b/>
        </w:rPr>
        <w:t>E. 2.2</w:t>
      </w:r>
    </w:p>
    <w:p>
      <w:r>
        <w:t>Mit seinen zum Teil nicht leicht verständlichen Ausführungen in der Beschwerdeschrift gelingt es dem Beschwerdeführer auch vor Bundesgericht nicht, seine finanzielle Situation umfassend und für das Gericht nachvollziehbar darzustellen. Mit Blick auf die Unklarheit der Vorbringen des Beschwerdeführers ist anzunehmen, dass auch die vor der Vorinstanz anbegehrte Gelegenheit, weitere Belege nachzureichen, nicht die notwendige Klärung gebracht hätte. Damit ist im Ergebnis nicht zu beanstanden, wenn die Vorinstanz dem Beschwerdeführer die unentgeltliche Prozessführung verweigerte.</w:t>
      </w:r>
    </w:p>
    <w:p>
      <w:r>
        <w:rPr>
          <w:b/>
        </w:rPr>
        <w:t>E. 2.3</w:t>
      </w:r>
    </w:p>
    <w:p>
      <w:r>
        <w:t>Mit Bezug auf die Sicherstellungspflicht beschränkt sich der Beschwerdeführer schlicht darauf, dem Bundesgericht eine in tatsächlicher Hinsicht über die Feststellungen im angefochtenen Entscheid hinausgehende Sachverhaltsversion zu unterbreiten, ohne sich diesbezüglich im Einzelnen mit dem angefochtenen Entscheid auseinanderzusetzen. Damit verfehlt er die formellen Voraussetzungen, unter denen in tatsächlicher Hinsicht über die Feststellungen der Vorinstanz hinausgehende oder davon abweichende Vorbringen zulässig sind ( BGE 133 II 249 E. 1.4.3 S. 254 f. mit Hinweisen). Es gelingt ihm auch diesbezüglich nicht, eine Rechtsverletzung aufzuzeigen.</w:t>
      </w:r>
    </w:p>
    <w:p>
      <w:r>
        <w:rPr>
          <w:b/>
        </w:rPr>
        <w:t>E. 2.4</w:t>
      </w:r>
    </w:p>
    <w:p>
      <w:r>
        <w:t>Insgesamt ist die Beschwerde abzuweisen, soweit darauf eingetreten werden kann. Der Beschwerdeführer behauptet vor Bundesgericht einerseits, er sei bedürftig, und andererseits, mit Blick auf das vorhandene Vermögen erübrige sich die Sicherstellung der Parteientschädigung. Angesichts dieser in sich widersprüchlichen Argumentation erscheint die Beschwerde als von vornherein aussichtslos, so dass unabhängig von der Prozessarmut für das Verfahren vor Bundesgericht die unentgeltliche Prozessführung nicht bewilligt werden könnte ( Art. 64 Abs. 1 BGG ) und der Beschwerdeführer kostenpflichtig wird. Eine Parteientschädigung ist dagegen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