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4A_458/2012 vom 30. Oktober 2012</w:t>
      </w:r>
    </w:p>
    <w:p>
      <w:r>
        <w:t>Bundesgericht, 2012-10-30, DE</w:t>
      </w:r>
    </w:p>
    <w:p>
      <w:r>
        <w:rPr>
          <w:b/>
        </w:rPr>
        <w:t xml:space="preserve">Quelle: </w:t>
      </w:r>
      <w:r>
        <w:t>https://mcp.opencaselaw.ch/entscheid/bger_4A_458_2012</w:t>
      </w:r>
    </w:p>
    <w:p>
      <w:r>
        <w:t>FR: TF 4A_458/2012 du 30 octobre 2012</w:t>
      </w:r>
    </w:p>
    <w:p>
      <w:r>
        <w:t>IT: TF 4A_458/2012 del 30 ottobre 2012</w:t>
      </w:r>
    </w:p>
    <w:p>
      <w:pPr>
        <w:pStyle w:val="Heading2"/>
      </w:pPr>
      <w:r>
        <w:t>Erwägungen</w:t>
      </w:r>
    </w:p>
    <w:p>
      <w:r>
        <w:rPr>
          <w:b/>
        </w:rPr>
        <w:t>E. 1</w:t>
      </w:r>
    </w:p>
    <w:p>
      <w:r>
        <w:t>Das angefochtene Urteil befasst sich mit Zwischenentscheiden im Sinne des BGG und betrifft weder die Zuständigkeit noch den Ausstand ( Art. 92 BGG ). Die Beschwerde in Zivilsachen steht damit nur offen, wenn durch die Gutheissung der Beschwerde sofort ein Endentscheid herbeigeführt und ein so bedeutender Aufwand an Zeit oder Kosten für ein weitläufiges Beweisverfahren erspart werden kann, dass die gesonderte Anrufung des Bundesgerichts gerechtfertigt erscheint ( Art. 93 Abs. 1 lit. b BGG ; BGE 133 III 629 E. 2.4 S. 633 mit Hinweisen) oder wenn der Zwischenentscheid einen nicht wieder gutzumachenden Nachteil bewirken kann ( Art. 93 Abs. 1 lit. a BGG ), wobei der mögliche Nachteil rechtlicher Natur sein muss, also auch durch einen für den Beschwerdeführer günstigen Endentscheid des Bundesgerichts nicht mehr behoben werden könnte ( BGE 137 III 380 E. 1.2.1 S. 382 mit Hinweisen). Die bundesgerichtliche Praxis zur Zulässigkeit der Anfechtung eines Zwischenentscheides nach Art. 93 Abs. 1 lit. b BGG ist streng, zumal die Parteien keiner Rechte verlustig gehen, wenn sie einen Zwischenentscheid nicht selbständig anfechten, können sie ihn doch mit dem Endentscheid anfechten, soweit er sich auf dessen Inhalt auswirkt ( Art. 93 Abs. 3 BGG ; BGE 133 IV 288 E. 3.2 S. 292 mit Hinweis).</w:t>
      </w:r>
    </w:p>
    <w:p>
      <w:r>
        <w:rPr>
          <w:b/>
        </w:rPr>
        <w:t>E. 1.1</w:t>
      </w:r>
    </w:p>
    <w:p>
      <w:r>
        <w:t>In der Beschwerde wird der angefochtene Entscheid in zwei Punkten beanstandet:</w:t>
      </w:r>
    </w:p>
    <w:p>
      <w:r>
        <w:rPr>
          <w:b/>
        </w:rPr>
        <w:t>E. 1.1.1</w:t>
      </w:r>
    </w:p>
    <w:p>
      <w:r>
        <w:t>Hauptsächlich ist die Beschwerdeführerin der Auffassung, die Verfügung vom 17. Januar 2011 sei nichtig und das Verfahren abzuschreiben. Diesbezüglich könne das Bundesgericht durch einen sofortigen Endentscheid einen bedeutenden Aufwand an Zeit oder Kosten für ein weitläufiges Beweisverfahren ersparen.</w:t>
      </w:r>
    </w:p>
    <w:p>
      <w:r>
        <w:rPr>
          <w:b/>
        </w:rPr>
        <w:t>E. 1.1.2</w:t>
      </w:r>
    </w:p>
    <w:p>
      <w:r>
        <w:t>Die Beschwerdeführerin rügt sodann eine Verletzung ihres Anspruchs auf rechtliches Gehör, da ihr im kantonalen Beschwerdeverfahren die Beschwerdeantwort der Beschwerdegegner nicht zugestellt worden sei. Daher habe sie sich zu Behauptungen in der Beschwerdeantwort, die mit Bezug auf die Nichtigkeit der Verfügung vom 17. Januar 2011 wesentlich gewesen wären, nicht äussern können. In diesem Punkt drohe der Beschwerdeführerin ein nicht wieder gutzumachender Nachteil.</w:t>
      </w:r>
    </w:p>
    <w:p>
      <w:r>
        <w:rPr>
          <w:b/>
        </w:rPr>
        <w:t>E. 1.2</w:t>
      </w:r>
    </w:p>
    <w:p>
      <w:r>
        <w:t>Die Beschwerdeführerin ist bereits einmal an das Bundesgericht gelangt und hat die von ihr behauptete Unzulässigkeit der Fristerstreckung für die Leistung des Kostenvorschusses thematisiert. Auf diese Beschwerde konnte das Bundesgericht mit Blick auf die ungenügenden Rechtsbegehren nicht eintreten (zit. Urteil 4A_333/2011). Vor dem Hintergrund, dass sich das Bundesgericht aus prozessökonomischen Gründen wenn möglich nur einmal mit einem Fall befassen soll ( BGE 133 III 629 E. 2.3 S. 632 mit Hinweisen), kann es nicht zulässig sein, die bereits einmal mit nicht hinreichender Begründung thematisierte Frage anlässlich des nächsten Zwischenentscheides mit verbesserten Rechtsbegehren erneut aufzuwerfen. Es wäre vielmehr an der Beschwerdeführerin gewesen, dem Bundesgericht mit hinreichenden Rechtsbegehren bereits im Verfahren 4A_333/2011 die Möglichkeit zur Herbeiführung eines Endentscheides und damit zur Prüfung der von ihr mit etwas abgewandelter Begründung erneut aufgeworfenen Rechtsfragen zu eröffnen. Insoweit ist auf die Beschwerde nicht einzutreten.</w:t>
      </w:r>
    </w:p>
    <w:p>
      <w:r>
        <w:rPr>
          <w:b/>
        </w:rPr>
        <w:t>E. 1.3</w:t>
      </w:r>
    </w:p>
    <w:p>
      <w:r>
        <w:t>Mit Blick auf die geltend gemachte Gehörsverletzung ist entgegen der Ansicht der Beschwerdeführerin kein nicht wieder gutzumachender Nachteil ersichtlich. Die Beschwerdeführerin macht geltend, die unterlassene Zustellung könne im Hauptverfahren nicht nachgeholt und die Gehörsverletzung vor Bundesgericht mit Blick auf die eingeschränkte Kognition nicht geheilt werden. Sie rügt die Gehörsverletzung aber mit Bezug auf Tatsachen, denen für die Beurteilung der behaupteten Nichtigkeit der Fristerstreckung Bedeutung zukommen soll. Das Verfahren ist aber nach wie vor erstinstanzlich hängig. Die Beschwerdeführerin hat darin die Unzulässigkeit der Fristerstreckung thematisiert. Auf Beschwerde gegen den kantonalen Endentscheid hin könnte das Bundesgericht diese Frage prüfen. Würde die Prüfung zu Gunsten der Beschwerdeführerin ausfallen, wäre damit ein allfälliger Nachteil behoben. Beschwert ist die Beschwerdeführerin allerdings insoweit, als die Vorinstanz ihr Kosten- und Entschädigungsfolgen auferlegt hat. Auch dies gereicht ihr aber nicht zu einem nicht wieder gutzumachenden Nachteil, da sie den Zwischenentscheid diesbezüglich beim Bundesgericht anfechten könnte, nachdem der kantonale Endentscheid ergangen ist ( BGE 135 III 329 E. 1.2.2 S. 333 f.).</w:t>
      </w:r>
    </w:p>
    <w:p>
      <w:r>
        <w:rPr>
          <w:b/>
        </w:rPr>
        <w:t>E. 2</w:t>
      </w:r>
    </w:p>
    <w:p>
      <w:r>
        <w:t>Mit Blick auf die von der Beschwerdeführerin erhobenen Rügen sind die Voraussetzungen für die Anfechtung des Zwischenentscheides nicht gegeben. Daher ist auf die Beschwerde nicht einzutreten und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