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4A_457/2017 vom 3. April 2018</w:t>
      </w:r>
    </w:p>
    <w:p>
      <w:r>
        <w:t>Bundesgericht, 2018-04-03, FR</w:t>
      </w:r>
    </w:p>
    <w:p>
      <w:r>
        <w:rPr>
          <w:b/>
        </w:rPr>
        <w:t xml:space="preserve">Quelle: </w:t>
      </w:r>
      <w:r>
        <w:t>https://mcp.opencaselaw.ch/entscheid/bger_4A_457_2017</w:t>
      </w:r>
    </w:p>
    <w:p>
      <w:r>
        <w:t>FR: TF 4A_457/2017 du 3 avril 2018</w:t>
      </w:r>
    </w:p>
    <w:p>
      <w:r>
        <w:t>IT: TF 4A_457/2017 del 3 aprile 2018</w:t>
      </w:r>
    </w:p>
    <w:p>
      <w:pPr>
        <w:pStyle w:val="Heading2"/>
      </w:pPr>
      <w:r>
        <w:t>Erwägungen</w:t>
      </w:r>
    </w:p>
    <w:p>
      <w:r>
        <w:rPr>
          <w:b/>
        </w:rPr>
        <w:t>E. 1.1</w:t>
      </w:r>
    </w:p>
    <w:p>
      <w:r>
        <w:t>Interjeté en temps utile, compte tenu des féries d'été et de l'échéance du délai tombant sur un dimanche (art. 100 al. 1, 46 al. 1 let. b et 45 al. 1 LTF), par les mandants défendeurs qui ont succombé partiellement dans leurs conclusions ( art. 76 al. 1 LTF ) et dirigé contre une décision finale ( art. 90 LTF ) prise sur appel par le tribunal supérieur du canton ( art. 75 LTF ) dans une contestation relevant du contrat d'architecte global, plus précisément du dépassement de devis ( art. 398 al. 2 CO ), dont la valeur litigieuse est supérieure à 30'000 fr. (art. 72 al. 1 et 74 al. 1 let. b LTF), le recours en matière civile est recevable au regard de ces dispositions.</w:t>
      </w:r>
    </w:p>
    <w:p>
      <w:r>
        <w:rPr>
          <w:b/>
        </w:rPr>
        <w:t>E. 1.2</w:t>
      </w:r>
    </w:p>
    <w:p>
      <w:r>
        <w:t>L'état de fait de l'arrêt attaqué est en grande partie une reprise à l'identique de la partie " En fait " du jugement de la Cour civile; il ne tient aucun compte des faits retenus par celle-ci dans ses considérants de droit. Comme le relèvent les recourants, on ignore notamment les chiffres sur lesquels la Cour d'appel s'est basée pour admettre un dépassement, voire le montant du dépassement qu'elle a vraiment retenu. On ne sait pas non plus quelles autres conditions de la responsabilité de l'architecte n'ont pas été contestées ou ont été admises. Un tel état de fait ne satisfait pas aux exigences de l' art. 112 al. 1 let. a et b LTF .</w:t>
      </w:r>
    </w:p>
    <w:p>
      <w:r>
        <w:t>Dans un souci d'économie de moyens, le Tribunal a, exceptionnellement, rétabli d'office l'état de fait ( art. 105 al. 2 LTF ).</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Les critiques de nature appellatoire sont irrecevables ( ATF 130 I 258 consid. 1.3 p. 261 s.).</w:t>
      </w:r>
    </w:p>
    <w:p>
      <w:r>
        <w:t>La partie qui souhaite obtenir un complètement de l'état de fait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t>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133 III 545 consid. 2.2).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Il n'est pas contesté que les parties se sont liées par un contrat d'architecte global, soit un contrat mixte, qui est soumis, selon les prestations à fournir par l'architecte, soit aux règles du mandat, soit à celles du contrat d'entreprise ( ATF 134 III 361 consid. 5.1 et 6.2.2; 127 III 543 consid. 2a p. 545; arrêt 4A_89/2017 du 2 octobre 2017 consid. 4; 4A_514/2016 du 6 avril 2017 consid. 3.1.1).</w:t>
      </w:r>
    </w:p>
    <w:p>
      <w:r>
        <w:t>La question de la responsabilité de l'architecte pour le dépassement de devis, c'est-à-dire pour le surcoût de l'ouvrage, doit être clairement distinguée de la question de la rémunération de l'architecte (ses honoraires) prévue par le contrat, qui peut être réduite en cas d'exécution défectueuse du mandat. Les créances réciproques de l'architecte mandataire (en paiement de ses honoraires, cas échéant réduits) et du mandant (en dommages-intérêts selon l' art. 398 al. 2 CO ) seront compensées à due concurrence ( art. 120 CO ; ATF 124 III 423 consid. 4c; pour plus de détails sur ces deux actions, cf. l'arrêt 4A_89/2017 précité consid. 5).</w:t>
      </w:r>
    </w:p>
    <w:p>
      <w:r>
        <w:t>En l'espèce, l'architecte demanderesse a agi en paiement (du solde) de ses honoraires (prévus par le contrat; cf. art. 394 al. 3 CO ) et les mandants défendeurs ont formé une action reconventionnelle en responsabilité pour dépassement de devis ( art. 398 al. 1-2 CO ), deux questions qui sont soumises aux règles du mandat.</w:t>
      </w:r>
    </w:p>
    <w:p>
      <w:r>
        <w:t>Curieusement, les juges de première instance ont écarté la responsabilité de l'architecte pour dépassement de devis, en l'absence de dommage, et simultanément ont réduit de 30% les honoraires contractuels de l'architecte pour un dépassement de devis de 210'000 fr., admettant une faute manifeste pour le dépassement du poste " maçonnerie " et une faute présumée pour les autres postes.</w:t>
      </w:r>
    </w:p>
    <w:p>
      <w:r>
        <w:t>L'architecte n'ayant pas interjeté d'appel, le solde dû - sur ses honoraires réduits - de 43'333 fr. 65 avec intérêts (ch. I et II du dispositif du jugement de la Cour civile) est entré en force.</w:t>
      </w:r>
    </w:p>
    <w:p>
      <w:r>
        <w:t>Dans leur présent recours en matière civile, les mandants concluent au paiement d'un montant de 166'666 fr. 35 avec intérêts, montant qu'ils obtiennent en déduisant du dépassement de devis de 210'000 fr. le montant du solde dû sur honoraires de 43'333 fr. 65. Vu le sort du recours, il n'y a pas lieu de s'attarder sur la possibilité pour les recourants de demander ainsi la modification des ch. I et II du premier jugement qui sont entrés en force.</w:t>
      </w:r>
    </w:p>
    <w:p>
      <w:r>
        <w:rPr>
          <w:b/>
        </w:rPr>
        <w:t>E. 4.1</w:t>
      </w:r>
    </w:p>
    <w:p>
      <w:r>
        <w:t>La responsabilité de l'architecte pour le dépassement de devis (</w:t>
      </w:r>
    </w:p>
    <w:p>
      <w:r>
        <w:t>Überschreitung des Kostenvoranschlags ) et le défaut de contrôle continu des coûts durant le chantier (</w:t>
      </w:r>
    </w:p>
    <w:p>
      <w:r>
        <w:t>mangelnde Kostenüberwachung ) est soumise aux règles du mandat: en effet, l'architecte établit un devis non pour sa propre prestation, mais pour les prestations fournies par des tiers entrepreneurs, de sorte qu'il n'est pas en mesure de garantir un résultat qui serait mesurable selon des critères objectifs; il subsiste toujours une certaine marge d'incertitude. Il s'agit d'un cas de responsabilité au sens de l' art. 398 al. 1-2 CO . Le devis est une estimation (ou une évaluation, un pronostic) que l'architecte est tenu d'élaborer avec diligence ( art. 398 al. 2 CO ), vu l'influence que l'information qu'il fournit ainsi aura sur les décisions successives du mandant ( ATF 134 III 361 consid. 6.2.3 p. 365; arrêt 4A_210/2015 du 2 octobre 2015 consid. 4.1 et 4.2.2).</w:t>
      </w:r>
    </w:p>
    <w:p>
      <w:r>
        <w:t>Il faut bien distinguer cette responsabilité de l'architecte pour le dépassement de devis de la responsabilité de l'architecte en tant que directeur des travaux en raison des coûts supplémentaires de l'ouvrage, qui sont indépendants de l'établissement du devis en tant que tel et qui résultent souvent d'une planification défectueuse, d'une adjudication défavorable des travaux, de mauvaises instructions ou encore d'un défaut de direction du chantier (</w:t>
      </w:r>
    </w:p>
    <w:p>
      <w:r>
        <w:t>Mehrkosten für vertragswidrig verursachte Zusatzkosten ), responsabilité qui relève également des règles du mandat ( art. 398 CO ; ATF 122 III 61 consid. 2a; 109 II 462 consid. 3d; arrêts 4A_89/2017 précité consid. 4; 4A_210/2015 précité consid. 4.2.1.1), mais dont le dommage découle non pas d'une fausse information de l'architecte, mais de la mauvaise exécution de ses prestations.</w:t>
      </w:r>
    </w:p>
    <w:p>
      <w:r>
        <w:rPr>
          <w:b/>
        </w:rPr>
        <w:t>E. 4.2</w:t>
      </w:r>
    </w:p>
    <w:p>
      <w:r>
        <w:t>L'architecte mandataire est responsable du dépassement de devis envers le mandant en vertu de l' art. 398 al. 2 CO : il est responsable de la bonne et fidèle exécution du mandat. L' art. 398 al. 1 CO renvoie aux règles régissant la responsabilité du travailleur dans les rapports de travail, soit à l' art. 321e CO . Il en découle que la responsabilité de l'architecte mandataire suppose la réunion de quatre conditions, qui sont cumulatives: (1) une violation d'un devoir de diligence, (2) une faute, (3) un dommage et (4) une relation de causalité (naturelle et adéquate) entre la violation fautive du devoir de diligence et le dommage survenu. Il appartient au mandant d'apporter la preuve des faits permettant de constater que chacune de ces conditions est remplie ( art. 8 CC ), sauf pour la faute qui est présumée ( art. 97 al. 1 CO ) (cf. ATF 133 III 121 consid. 3.1 p. 124).</w:t>
      </w:r>
    </w:p>
    <w:p>
      <w:r>
        <w:rPr>
          <w:b/>
        </w:rPr>
        <w:t>E. 4.2.1</w:t>
      </w:r>
    </w:p>
    <w:p>
      <w:r>
        <w:t>Pour satisfaire à la première condition, à savoir à son devoir de diligence, l'architecte doit établir le devis avec soin, donner au mandant toutes les informations nécessaires sur les coûts, en particulier sur le degré d'exactitude de son devis, et effectuer un contrôle continu des coûts afin de pouvoir lui signaler rapidement les éventuels dépassements de devis ( ATF 119 II 249 consid. 3b/aa; arrêts 4A_210/2015 précité consid. 4.2; 4C.424/2004 du 15 mars 2005 consid. 3).</w:t>
      </w:r>
    </w:p>
    <w:p>
      <w:r>
        <w:t>Le dépassement de devis, c'est-à-dire l'inexactitude de l'estimation du montant indiqué dans le devis, peut résulter de l'oubli de certains postes, d'une erreur de calcul, d'une connaissance insuffisante du terrain, voire de l'évaluation défectueuse de la quantité des prestations nécessaires, de l'étendue des travaux en régie ou encore des prix entrant en ligne de compte. L'architecte qui évalue mal les coûts donne une information erronée à son mandant au sujet du coût de construction prévisible et répond, en cas de faute, de la mauvaise exécution du contrat ( ATF 119 II 249 consid. 3b/aa in fine; arrêts 4A_210/2015 précité consid. 4.2.1.2; 4D_131/2009 du 16 décembre 2009 consid. 3.3.3). De même, l'architecte qui ne procède pas au contrôle continu des coûts durant le chantier (</w:t>
      </w:r>
    </w:p>
    <w:p>
      <w:r>
        <w:t>ungenügende Kostenkontrolle, mangelnde Kostenüberwachung ) en répond, parce qu'il donne en réalité une fausse information sur les coûts à son mandant, qui déduit du silence de l'architecte sur l'évolution des coûts que le devis sera respecté (arrêts 4A_210/2015 précité consid. 4.2.1.2; 4A_187/2009 du 14 juillet 2009 consid. 4.1).</w:t>
      </w:r>
    </w:p>
    <w:p>
      <w:r>
        <w:t>En cas de dépassement de devis, l'architecte viole aussi son devoir de diligence s'il n'avait pas informé son mandant du degré d'inexactitude du devis lors de son élaboration, c'est-à-dire de la marge d'incertitude de son calcul des coûts (arrêts 4A_210/2015 précité consid. 4.2.2; 4A_271/2013 du 26 septembre 2013 consid. 2.1). Dans ce cas, le juge doit examiner quelle confiance concrète le mandant pouvait accorder au calcul des coûts de l'architecte, selon le principe de la confiance (arrêts 4A_210/2015 précité consid. 4.2.1.2; 4A_271/2013 déjà cité, ibidem; 4A_22/2013 du 31 juillet 2013 consid. 2.4; 4C.424/2004 déjà cité, consid. 3.2.2.2). Différentes marges d'incertitude (dites marges de tolérance) ont été admises par la doctrine et la jurisprudence, en fonction de la nature de la construction (arrêt 4A_187/2009 précité, consid. 4.1). Par exemple, pour les nouvelles constructions, une marge de tolérance de 10% est admise; celle-ci correspond au degré d'exactitude admis par le Règlement SIA 102 (2003) (arrêts 4A_210/2015 précité, consid. 4.2.2.1; 4A_271/2013 précité, ibidem). La marge de tolérance est destinée à compenser les incertitudes qui sont liées à l'estimation des coûts, à la réalisation des travaux de construction et aux changements de circonstances qui peuvent survenir en cours de réalisation (4A_210/2015 précité consid. 4.2.2.1).</w:t>
      </w:r>
    </w:p>
    <w:p>
      <w:r>
        <w:t>Si la marge de tolérance n'est pas dépassée, il est admis que l'architecte n'a pas violé la confiance placée en lui, qu'il n'a pas commis de violation contractuelle (arrêts 4A_210/2015 précité consid. 4.2.2.2; 4A_271/2013 précité, consid. 2.1; 4C.424/2004 précité, consid. 3.2.2).</w:t>
      </w:r>
    </w:p>
    <w:p>
      <w:r>
        <w:t>En cas de dépassement de la marge de tolérance, il y a violation du devoir de diligence et l'architecte doit réparer le dommage résultant de la confiance déçue (</w:t>
      </w:r>
    </w:p>
    <w:p>
      <w:r>
        <w:t>Vertrauensschaden ) qu'a subi le mandant en tenant l'estimation pour exacte et en prenant ses dispositions en conséquence (arrêt 4A_210/2015 précité consid. 4.2.2.3).</w:t>
      </w:r>
    </w:p>
    <w:p>
      <w:r>
        <w:rPr>
          <w:b/>
        </w:rPr>
        <w:t>E. 4.2.2</w:t>
      </w:r>
    </w:p>
    <w:p>
      <w:r>
        <w:t>En ce qui concerne la troisième condition, soit le dommage, il s'agit d'un dommage résultant de la " confiance déçue " (</w:t>
      </w:r>
    </w:p>
    <w:p>
      <w:r>
        <w:t>Vertrauensschaden ).</w:t>
      </w:r>
    </w:p>
    <w:p>
      <w:r>
        <w:t>Le dommage se définit habituellement comme la diminution involontaire de la fortune nette: il correspond à la différence entre le montant actuel du patrimoine du lésé et le montant que ce même patrimoine aurait si l'événement dommageable ne s'était pas produit ( ATF 132 III 359 consid. 4 p. 366; 129 III 331 consid. 2.1 p. 332; 128 III 22 consid. 2e/aa p. 26; 127 III 73 consid. 4a p. 76). Il peut se présenter sous la forme d'une diminution de l'actif, d'une augmentation du passif, d'une non-augmentation de l'actif ou d'une non-diminution du passif ( ATF 132 III 359 consid. 4 p. 366; 128 III 22 consid. 2e/aa p. 26; 127 III 543 consid. 2b p. 546).</w:t>
      </w:r>
    </w:p>
    <w:p>
      <w:r>
        <w:t>Il n'y a pas de dommage dans ce sens en matière de responsabilité pour la confiance déçue, car, lorsque le devis est dépassé, il n'y a pas de diminution de patrimoine puisque la valeur de la construction correspond au coût final des travaux. Le dommage pour le mandant réside bien plutôt dans le fait qu'il aurait pris des décisions différentes s'il avait reçu une estimation exacte, par exemple en s'assurant un financement plus avantageux, en passant commande d'un ouvrage plus économique ou en renonçant totalement à son projet, parce que la plus-value était sans utilité pour lui ou que l'investissement exigé dépassait ses moyens financiers. Pour établir ce dommage, il ne faut donc pas tenir compte de la plus-value objective de la construction, résultant du dépassement de devis, car le mandant n'a pas voulu cette plus-value. Il faut au contraire partir de la valeur subjective que la construction représente pour le mandant, soit la valeur, supposée inférieure, que celui-ci aurait vraisemblablement acceptée si l'architecte l'avait renseigné exactement. La plus-value ne représentant un avantage que si le mandant y a un intérêt personnel, le dommage déterminant consiste dans la différence entre la valeur objective du bâtiment et son utilité subjective pour le mandant ( ATF 122 III 61 consid. 2c/aa; 119 II 249 consid. 3b/bb p. 252).</w:t>
      </w:r>
    </w:p>
    <w:p>
      <w:r>
        <w:t>Il n'y a donc aucun dommage résultant de la confiance déçue s'il apparaît que le mandant aurait de toute manière, même s'il avait disposé d'une estimation exacte, fait exécuter l'ouvrage sans modification et en en assumant volontairement les coûts réels. En principe, il incombe au mandant de prouver que, s'il avait obtenu une estimation exacte, il aurait pris des décisions différentes et aurait donc épargné certains frais. Il suffit en principe qu'il soit établi avec une vraisemblance prépondérante - sur la base des allégués du mandant et des circonstances concrètes, ressortant du dossier et des preuves apportées - que le mandant aurait pu épargner certains coûts (arrêts 4A_210/2015 précité consid. 4.2.2.3 in fine; 4A_229/2012 du 19 juillet 2012 consid. 9; 4D_131/2009 précité, consid. 3.3.3; 4C.424/2004 précité, consid. 5.1.1; 4C.71/2003 du 27 mai 2003 consid. 3).</w:t>
      </w:r>
    </w:p>
    <w:p>
      <w:r>
        <w:rPr>
          <w:b/>
        </w:rPr>
        <w:t>E. 5.1</w:t>
      </w:r>
    </w:p>
    <w:p>
      <w:r>
        <w:t>En l'espèce, la violation du devoir de diligence de l'architecte dans l'estimation des coûts et dans le contrôle continu de ceux-ci, telle que retenue par les premiers juges, n'est pas remise en cause par les recourants devant le Tribunal fédéral; en tant qu'elle conteste le montant de 1'311'848 fr. 64, sur la base duquel a été calculé le dépassement de devis, l'intimée se borne à une critique purement appellatoire, laquelle est irrecevable. La Cour civile a retenu un dépassement de devis de 210'000 fr., en comparant le devis du 22 avril 2008 et le coût final de la construction de 1'021'806 fr. 15, déduction faite des commandes supplémentaires par 124'184 fr. 25, des commandes passées directement par les mandants eux-mêmes par 86'700 fr. et des travaux commandés par eux après la fin du chantier par 79'158 fr. 24 (coût final de 1'311'848 fr. 64 - 124'184 fr. 25 - 86'700 fr. - 79'158 fr. 24). Ce surcoût dépassait la marge de tolérance de 10% et, partant, la Cour civile a considéré que l'architecte a violé son devoir de diligence dans l'estimation du coût des travaux. La cour d'appel n'en dit rien, mais ce point semble admis implicitement. Faute de grief (recevable), il sera donc admis.</w:t>
      </w:r>
    </w:p>
    <w:p>
      <w:r>
        <w:t>Étrangement, la Cour civile a examiné la faute de l'architecte dans le dépassement de devis lorsqu'elle s'est prononcée sur la réduction des honoraires de celle-ci: elle a retenu que l'erreur de l'architecte dans la très importante sous-évaluation du coût des travaux de maçonnerie (estimés à 38'800 fr. le 22 avril 2008 et ayant finalement coûté 149'500 fr. au moins) est lourde et la sous-évaluation des autres postes est également fautive, la faute étant présumée et sa présomption n'ayant pas été renversée. Ce point n'est pas non plus remis en cause par les parties.</w:t>
      </w:r>
    </w:p>
    <w:p>
      <w:r>
        <w:rPr>
          <w:b/>
        </w:rPr>
        <w:t>E. 5.2</w:t>
      </w:r>
    </w:p>
    <w:p>
      <w:r>
        <w:t>C'est la troisième condition, soit celle du dommage résultant de la confiance déçue, qui a été considérée comme non réalisée tant par la Cour civile que par la Cour d'appel.</w:t>
      </w:r>
    </w:p>
    <w:p>
      <w:r>
        <w:rPr>
          <w:b/>
        </w:rPr>
        <w:t>E. 5.2.1</w:t>
      </w:r>
    </w:p>
    <w:p>
      <w:r>
        <w:t>La Cour civile a considéré que les mandants n'ont pas allégué ni établi qu'ils auraient pris des décisions différentes s'ils avaient reçu une estimation exacte du coût des travaux et qu'ils n'ont pas allégué ni établi qu'ils auraient fait un choix différent s'ils avaient été informés par écrit des incidences des travaux à plus-value qu'ils n'ont pas commandés directement et qui n'étaient pas prévus dans le devis de base.</w:t>
      </w:r>
    </w:p>
    <w:p>
      <w:r>
        <w:t>Examinant la critique des mandants à cet égard, la cour d'appel a retenu d'un côté, en faveur des mandants: que ceux-ci avaient renoncé à un premier projet avec agrandissement de l'habitation à 961'500 fr. du 31 août 2007 puis à 1'445'622 fr. 66 du 29 janvier 2008 et que leur budget a été ramené par devis du 22 avril 2008 à 812'784 fr. 97; qu'à réception du décompte du 30 juillet 2008, qui indiquait que le devis passait de 812'784 fr. 97 à 875'977 fr. 23, le mandant s'était déclaré catastrophé et demandait à l'architecte de faire le nécessaire; que le 9 mars 2009, le total devisé était de 929'072 fr. 47 et était adjugé pour 1'074'916 fr.; que le 16 mars 2009, les mandants ont encore contesté le nouveau décompte; qu'ils n'auraient pas accepté des modifications de devis s'ils avaient connu le dépassement total du projet et qu'ensuite de cela, ils ont renoncé à certains travaux, économisant ainsi environ 30'000 fr.</w:t>
      </w:r>
    </w:p>
    <w:p>
      <w:r>
        <w:t>Mais la Cour d'appel a estimé finalement que d'autres éléments infirmaient le fait que les mandants auraient pris des décisions différentes s'ils avaient reçu une estimation exacte: ils n'ont pas épuisé la limite de leur crédit bancaire; ils ont été informés d'un dépassement de devis le 30 juillet 2008 (le devis était alors augmenté à 875'977 fr. 23 sans tenir compte du dépassement pour le coût des travaux de maçonnerie), mais bien qu'ils se soient déclarés catastrophés, ils ont accepté que la cuisine devisée à 40'000 fr. coûte 73'000 fr., payant un acompte de 31'500 et ne cherchant pas à réduire le coût de celle-ci, et ils n'ont pas renoncé à d'autres plus-values comme le parquet qui coûtait 38'500 fr. et ils n'ont pas restreint leur projet. En conclusion, la Cour d'appel a jugé que les mandants n'avaient pas établi avec une vraisemblance prépondérante qu'ils auraient pris des décisions différentes et auraient épargné certains coûts s'ils avaient dès le départ obtenu une estimation exacte de la construction de leur immeuble.</w:t>
      </w:r>
    </w:p>
    <w:p>
      <w:r>
        <w:rPr>
          <w:b/>
        </w:rPr>
        <w:t>E. 5.2.2</w:t>
      </w:r>
    </w:p>
    <w:p>
      <w:r>
        <w:t>Comme on l'a vu, pour qu'il y ait dommage résultant de la confiance déçue (dans l'estimation du devis), les mandants doivent prouver que s'ils avaient obtenu une estimation exacte, ils auraient pris des décisions différentes et donc épargné certains frais. Pour apporter cette preuve hypothétique, ils peuvent et doivent au moins apporter la preuve positive des postes de coûts qu'ils auraient pu épargner, le juge statuant selon la vraisemblance prépondérante, sur la base de leurs allégués et des circonstances prouvées.</w:t>
      </w:r>
    </w:p>
    <w:p>
      <w:r>
        <w:t>Or, les mandants recourants n'indiquent aucun poste de coûts (sur le montant de 1'021'806 fr. 15) qu'ils auraient allégué et auquel ils auraient renoncé ou qu'ils auraient réduit, s'ils avaient connu le dépassement de devis. Le poste des armoires a effectivement pu être réduit et n'entre donc pas en ligne de compte pour le dommage et on ignore de quel montant ils auraient réduit le poste de la salle de bain si cela avait été possible. Au contraire, comme l'a retenu la Cour d'appel, alors qu'ils avaient déjà connaissance d'un dépassement de l'ordre de 100'000 fr. au 30 juillet 2008, ils ont encore passé des commandes supplémentaires, ont fait eux-mêmes des commandes supplémentaires et ont encore commandé des travaux après le départ de l'architecte, en tout pour plus de 290'000 fr. (124'184 fr. 25 + 86'700 fr. + 79'158 fr. 24). Il n'est ainsi ni allégué ni établi qu'ils auraient pris des décisions différentes pour épargner certains coûts. Pour apporter une telle preuve, il ne leur suffit pas de se référer de manière générale à un dépassement de devis au 30 juillet 2008 et d'indiquer qu'ils étaient catastrophés et avaient demandé à l'architecte de faire le nécessaire.</w:t>
      </w:r>
    </w:p>
    <w:p>
      <w:r>
        <w:rPr>
          <w:b/>
        </w:rPr>
        <w:t>E. 5.2.3</w:t>
      </w:r>
    </w:p>
    <w:p>
      <w:r>
        <w:t>Les critiques de fait que les recourants formulent sous le titre " De l'arbitraire dans l'établissement des faits ( art. 9 Cst. ) " et développées sur dix pages, ne changent rien à cette appréciation.</w:t>
      </w:r>
    </w:p>
    <w:p>
      <w:r>
        <w:t>Contrairement à ce qu'ils croient, il ne leur est pas demandé d'avoir effectivement renoncé à des travaux qui étaient déjà adjugés ou réalisés, mais d'indiquer à quels postes ils auraient renoncé s'ils avaient été avisés à temps du dépassement. Cela présuppose, comme on l'a déjà dit, d'indiquer précisément dans leurs allégués, preuves à l'appui, à quels postes ils auraient renoncé sur le coût final.</w:t>
      </w:r>
    </w:p>
    <w:p>
      <w:r>
        <w:t>Lorsqu'ils reprochent à la Cour d'appel de n'avoir pas réellement examiné la causalité naturelle et de n'avoir pas fait de distinction avec la causalité adéquate, ils méconnaissent que l'absence de dommage s'examine uniquement en relation avec les frais qui auraient été épargnés et ne relève pas de la causalité, naturelle et adéquate.</w:t>
      </w:r>
    </w:p>
    <w:p>
      <w:r>
        <w:t>Lorsqu'ils affirment qu'ils ont renoncé à un premier projet d'agrandissement de leur villa, que l'architecte a été rendu attentif à l'importance de respecter ce budget, que lorsqu'ils ont été informés du dépassement de ce devis, ils se sont déclarés catastrophés et ont demandé à l'architecte de faire le nécessaire, que le témoin B.________ a témoigné de ce que ce budget devait être respecté, qu'ils attendaient de l'architecte qu'elle tienne ce budget, ils ne prouvent pas à quels postes ils auraient renoncé. Par cette critique, ils semblent vouloir soutenir que l'architecte devait respecter une limite de coût (</w:t>
      </w:r>
    </w:p>
    <w:p>
      <w:r>
        <w:t>Kostenlimite ; sur cette notion, cf. l'arrêt 4A_210/2015 précité consid. 4.3.1). Ils ne soutiennent toutefois pas avoir soulevé ce grief, ni surtout établi les faits qui le justifieraient ( art. 106 al. 2 LTF ). Force est d'ailleurs de constater que la Cour civile avait retenu que l'état de fait ne permettait pas de conclure que l'architecte aurait accepté une limite de coût, ce que l'architecte intimée relève dans sa réponse et à quoi les recourants n'ont rien répliqué.</w:t>
      </w:r>
    </w:p>
    <w:p>
      <w:r>
        <w:t>Lorsqu'ils soutiennent qu'ils attendaient de l'architecte qu'il tienne le budget en cours de travaux, que celui-ci ne leur a pas présenté de situation chiffrée leur permettant de prendre conscience de certaines plus-values mettant en péril leur budget, qu'ils ne se sont rendus compte que le 13 mai 2009 que le devis du 22 avril 2009 ne serait pas respecté et ont alors demandé à l'architecte de prendre une part du surcoût à sa charge, ils ne démontrent toujours pas quels frais ils auraient supprimés, de sorte qu'il n'y a même pas lieu de se prononcer sur leur affirmation au vu de l'importance des travaux supplémentaires commandés.</w:t>
      </w:r>
    </w:p>
    <w:p>
      <w:r>
        <w:t>Quant à leur grief de violation de l' art. 398 CO , il se base sur la prémisse, non établie en fait, qu'ils auraient établi avec une vraisemblance prépondérante qu'ils auraient pris des décisions différentes et auraient épargné certains coûts s'ils avaient obtenu une estimation exacte de la construction; partant, elle est infondée.</w:t>
      </w:r>
    </w:p>
    <w:p>
      <w:r>
        <w:t>Enfin, lorsqu'ils reprochent à la cour cantonale d'avoir aussi renversé le fardeau de la preuve, ils méconnaissent que c'est à eux qu'il appartenait de prouver leur dommage avec une vraisemblance prépondérante, ce qu'ils n'ont pas fait.</w:t>
      </w:r>
    </w:p>
    <w:p>
      <w:r>
        <w:rPr>
          <w:b/>
        </w:rPr>
        <w:t>E. 6</w:t>
      </w:r>
    </w:p>
    <w:p>
      <w:r>
        <w:t>Au vu de ce qui précède, le recours doit être rejeté, dans la mesure où il est recevable, et les frais et dépens de la procédure doivent être mis à la charge des recourants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