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456/2023 vom 11. Dezember 2023</w:t>
      </w:r>
    </w:p>
    <w:p>
      <w:r>
        <w:t>Bundesgericht, 2023-12-11, DE</w:t>
      </w:r>
    </w:p>
    <w:p>
      <w:r>
        <w:rPr>
          <w:b/>
        </w:rPr>
        <w:t xml:space="preserve">Quelle: </w:t>
      </w:r>
      <w:r>
        <w:t>https://mcp.opencaselaw.ch/entscheid/bger_4A_456_2023</w:t>
      </w:r>
    </w:p>
    <w:p>
      <w:r>
        <w:t>FR: TF 4A 456/2023 du 11 décembre 2023</w:t>
      </w:r>
    </w:p>
    <w:p>
      <w:r>
        <w:t>IT: TF 4A 456/2023 del 11 dicembre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4A_180/2023 vom 24. Juli 2023 E. 2.2; 4A_446/2022 vom 15. Mai 2023 E. 2.2; 4A_564/2021 vom 2. Mai 2022 E. 3.2). Die Anträge des Beschwerdeführers sind demnach zulässig.</w:t>
      </w:r>
    </w:p>
    <w:p>
      <w:r>
        <w:rPr>
          <w:b/>
        </w:rPr>
        <w:t>E. 2.3</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3</w:t>
      </w:r>
    </w:p>
    <w:p>
      <w:r>
        <w:t>Der Beschwerdeführer wirft dem Schiedsgericht vor, es habe das rechtliche Gehör verletzt ( Art. 190 Abs. 2 lit. d IPRG ).</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3.2</w:t>
      </w:r>
    </w:p>
    <w:p>
      <w:r>
        <w:t>Der Beschwerdeführer bringt vor, das Schiedsgericht sei weder auf seine Ausführungen zur Bemessung der Entschädigung infolge des Vertragsbruchs eingegangen noch habe es nachvollziehbar ausgeführt, wie sich der letztlich festgesetzte Betrag von USD 500'000.-- zusammensetze. Er habe sich in seiner Berufungsbegründung in den Ziffern 94 bis 105 ausführlich mit der Bemessung der finanziellen Entschädigung auseinandergesetzt. Dabei habe er insbesondere auf das Monatsgehalt des Beschwerdegegners von USD 4'000.-- hingewiesen, zu dem die letztlich ausgesprochene Entschädigung von USD 500'000.-- in keinem Verhältnis stehe, sowie auf das erhebliche Mitverschulden des Beschwerdegegners bei der Vertragsauflösung. Die Restlaufzeit des Arbeitsvertrags habe nach dessen Beendigung 33 Monate und 23 Tage betragen, was einem Restlaufwert von rund USD 135'000.-- entspreche. Gemäss etablierter Rechtsprechung der FIFA und des TAS unter Berücksichtigung von Art. 17 Abs. 1 des FIFA-Reglements über den Status und Transfer von Spielern bemesse sich die Entschädigung in erster Linie am Restlaufwert. Das vom Beschwerdeführer geltend gemachte Mitverschulden des Beschwerdegegners habe sich in vier verschiedenen Sachverhaltselementen manifestiert, die er in der Berufungsschrift vorgebracht habe. Bezüglich dieses Mitverschuldens habe er im Schiedsverfahren insbesondere darauf hingewiesen, dass der Beschwerdegegner der Auflösung des Arbeitsvertrags mit dem Beschwerdeführer im Oktober 2020 ohne Vorbehalt zugestimmt habe. Sodann habe der Beschwerdegegner seine Arbeitsleistung erst am 22. August 2021 angeboten, das Land U.________ in der Folge aber auch schon wieder verlassen, bevor er den Beschwerdeführer abgemahnt und den Arbeitsvertrag, der dannzumal ohnehin nicht mehr in Kraft gestanden sei, aufgelöst habe, ohne den Ablauf der reglementarisch vorgeschriebenen Frist abzuwarten. Angesichts des erheblichen Mitverschuldens des Beschwerdegegners wäre die Entschädigung auf sechs Monatslöhne zu reduzieren gewesen. Alle diese Vorbringen seien bei der Bemessung der finanziellen Entschädigung infolge des Vertragsbruchs unberücksichtigt geblieben. In Ziffer 136 des angefochtenen Schiedsspruchs habe das Schiedsgericht zudem überhaupt nicht begründet, wie sich der letztlich zugesprochene Betrag der Entschädigung von USD 500'000.-- zusammensetze.</w:t>
      </w:r>
    </w:p>
    <w:p>
      <w:r>
        <w:rPr>
          <w:b/>
        </w:rPr>
        <w:t>E. 3.3</w:t>
      </w:r>
    </w:p>
    <w:p>
      <w:r>
        <w:t>Das Schiedsgericht liess den Einwand des Beschwerdeführers nicht gelten, wonach der Arbeitsvertrag zwischen den Parteien bereits im Oktober 2020 in gegenseitigem Einvernehmen aufgelöst worden sei. Vielmehr sei es dem Beschwerdegegner angesichts der konkreten Umstände nicht zuzumuten gewesen, das Arbeitsverhältnis weiterzuführen, weshalb er den Arbeitsvertrag aus wichtigem Grund habe kündigen dürfen. Hinsichtlich der finanziellen Folgen der Vertragsauflösung wies das Schiedsgericht ausdrücklich auf den vertraglich vereinbarten Monatslohn von USD 4'000.-- hin. Zudem hielt es dafür, die Frage der Anwesenheit des Beschwerdegegners im Land U.________ während der fraglichen Zeit sei nicht entscheiderheblich. Im Weiteren erwog das Schiedsgericht, Artikel 10 des Arbeitsvertrags sehe eine Konventionalstrafe vor, die von den Parteien nach Art. 160 ff. OR gültig vereinbart worden sei. Sowohl nach schweizerischem Recht als auch nach Art. 17 Abs. 1 des FIFA-Reglements über den Status und Transfer von Spielern sei eine von den Parteien wirksam getroffene vertragliche Regelung grundsätzlich zu beachten. Im Weiteren wies das Schiedsgericht auf die Möglichkeit der ermessensweisen Herabsetzung einer übermässig hohen Konventionalstrafe nach Art. 163 Abs. 3 OR hin, wobei es mit Blick auf Art. 163 Abs. 1 OR sowie eigene Entscheide und die Rechtsprechung des Bundesgerichts betonte, eine solche Reduktion komme nur ausnahmsweise in Frage. Im konkreten Fall sei angesichts der Höhe des vereinbarten Monatslohns nicht davon auszugehen, dass mit dem in Artikel 10 des Arbeitsvertrags vorgesehenen Betrag bezweckt worden sei, eine allfällige Vermögenseinbusse infolge Vertragsverletzung auszugleichen, sondern vielmehr, die Parteien zur Einhaltung des Vertrags zu bewegen. Zudem sei zu beachten, dass die Konsequenzen der Vertragsverletzung des Beschwerdeführers schwerwiegend gewesen seien, zumal der Vertrag noch beinahe vier Jahre fortgedauert hätte und der Beschwerdegegner seither keine neue Stelle angetreten habe. Dennoch erscheine die Höhe der Konventionalstrafe von USD 2 Mio. - nicht zuletzt im Hinblick auf den vereinbarten Lohn - als übermässig, weshalb der Betrag herabzusetzen sei. Angesichts der konkreten Umstände - so unter anderem, dass der Arbeitsvertrag durch den Beschwerdeführer verfasst und die Konventionalstrafe zur Verhinderung von Vertragsverletzungen hoch angesetzt wurde sowie im Hinblick auf die schwerwiegenden Folgen für den Beschwerdegegner - erscheine es dem Schiedsgericht angebracht, die Konventionalstrafe unter Berücksichtigung der Restlaufdauer des Vertrags, des Einstiegsbonus sowie des vereinbarten Lohns auf USD 500'000.-- zu reduzieren.</w:t>
      </w:r>
    </w:p>
    <w:p>
      <w:r>
        <w:rPr>
          <w:b/>
        </w:rPr>
        <w:t>E. 3.4</w:t>
      </w:r>
    </w:p>
    <w:p>
      <w:r>
        <w:t>Angesichts dieser Erwägungen im angefochtenen Entscheid vermag nicht einzuleuchten, dass das Schiedsgericht die Vorbringen des Beschwerdeführers in der Berufungsbegründung (Ziffer 94 bis 105) unbeachtet gelassen hätte. Aus der Entscheidbegründung geht vielmehr hervor, dass es verschiedene in der Beschwerde aufgeführte Elemente bei seiner Entscheidfindung berücksichtigt hat, so insbesondere die Umstände des Vertragsschlusses sowie der Kündigung, die Restlaufzeit des Arbeitsvertrags, den vereinbarten Monatslohn von USD 4'000.-- oder die angebliche Landesabwesenheit des Beschwerdegegners. Im Umstand, dass sich das Schiedsgericht nicht ausdrücklich mit jedem einzelnen Vorbringen des Beschwerdeführers in seiner Berufungsbegründung auseinandersetzte, ist keine Verletzung des Gehörsanspruchs zu erblicken. Das Schiedsgericht hat seinen Entscheid hinreichend begründet. Indem der Beschwerdeführer beanstandet, das Schiedsgericht hätte die Konventionalstrafe in Anwendung der massgebenden Regeln auf sechs Monatslöhne (d.h. USD 24'000.--) reduzieren müssen, kritisiert er in unzulässiger Weise die schiedsgerichtliche Rechtsanwendung. Das rechtliche Gehör in einem kontradiktorischen Verfahren nach Art. 182 Abs. 3 und Art. 190 Abs. 2 lit. d IPRG enthält jedoch nach ständiger Rechtsprechung keinen Anspruch auf einen materiell richtigen Entscheid, sondern sichert allein das Recht auf Beteiligung der Parteien an der Entscheidfindung ( BGE 127 III 576 E. 2b und 2d). Dieses wurde im konkreten Fall gewahrt.</w:t>
      </w:r>
    </w:p>
    <w:p>
      <w:r>
        <w:rPr>
          <w:b/>
        </w:rPr>
        <w:t>E. 4</w:t>
      </w:r>
    </w:p>
    <w:p>
      <w:r>
        <w:t>Die Beschwerde ist abzuweisen. Dem Ausgang des Verfahrens entsprechend wird der Beschwerdeführer kostenpflichtig ( Art. 66 Abs. 1 BGG ). Dem Beschwerdegegner ist aus dem bundesgerichtlichen Verfahren kein entschädigungspflichtiger Aufwand erwachsen, weshalb ihm keine Parteientschädigung zuzusprechen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