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455/2018 vom 9. Oktober 2019</w:t>
      </w:r>
    </w:p>
    <w:p>
      <w:r>
        <w:t>Bundesgericht, 2019-10-09, FR</w:t>
      </w:r>
    </w:p>
    <w:p>
      <w:r>
        <w:rPr>
          <w:b/>
        </w:rPr>
        <w:t xml:space="preserve">Quelle: </w:t>
      </w:r>
      <w:r>
        <w:t>https://mcp.opencaselaw.ch/entscheid/bger_4A_455_2018</w:t>
      </w:r>
    </w:p>
    <w:p>
      <w:r>
        <w:t>FR: TF 4A 455/2018 du 9 octobre 2019</w:t>
      </w:r>
    </w:p>
    <w:p>
      <w:r>
        <w:t>IT: TF 4A 455/2018 del 9 ottobre 2019</w:t>
      </w:r>
    </w:p>
    <w:p>
      <w:pPr>
        <w:pStyle w:val="Heading2"/>
      </w:pPr>
      <w:r>
        <w:t>Regeste</w:t>
      </w:r>
    </w:p>
    <w:p>
      <w:r>
        <w:t>représentation de la SA (art. 718 et 32 ss CO); organe de fait | Droit des obligations (en général)</w:t>
      </w:r>
    </w:p>
    <w:p>
      <w:pPr>
        <w:pStyle w:val="Heading2"/>
      </w:pPr>
      <w:r>
        <w:t>Erwägungen</w:t>
      </w:r>
    </w:p>
    <w:p>
      <w:r>
        <w:rPr>
          <w:b/>
        </w:rPr>
        <w:t>E. 1</w:t>
      </w:r>
    </w:p>
    <w:p>
      <w:r>
        <w:t>Interjeté dans le délai de 30 jours compte tenu de la suspension pendant les féries d'été (art. 100 al. 1 et 46 al. 1 let. b LTF), dirigé contre un arrêt final ( art. 90 LTF ) rendu sur appel par le tribunal supérieur du canton de Genève ( art. 75 LTF ) dans une affaire civile ( art. 72 al. 1 LTF ), dont la valeur litigieuse dépasse 30'000 fr. ( art. 74 al. 1 let. b LTF ), le recours en matière civile est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Le Tribunal fédéral se montre réservé en matière de constatations de fait et d'appréciation des preuves, vu le large pouvoir qu'il reconnaît en ce domaine aux autorités cantonales ( ATF 120 Ia 31 consid. 4b; 104 Ia 381 consid. 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appellatoires sont irrecevables ( ATF 130 I 258 consid. 1.3 p. 261 s.). Les faits nouveaux sont irrecevables devant le Tribunal fédéral ( art. 99 al. 1 LTF ).</w:t>
      </w:r>
    </w:p>
    <w:p>
      <w:r>
        <w:rPr>
          <w:b/>
        </w:rPr>
        <w:t>E. 2.2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La recourante formule trois critiques de fait.</w:t>
      </w:r>
    </w:p>
    <w:p>
      <w:r>
        <w:rPr>
          <w:b/>
        </w:rPr>
        <w:t>E. 3.1</w:t>
      </w:r>
    </w:p>
    <w:p>
      <w:r>
        <w:t>Elle reproche tout d'abord à la cour cantonale d'avoir occulté le fait que les trois contrats conclus par les parties avaient également été signés par O.________ en sa qualité d'organe de la société. Si, comme le soutient la défenderesse recourante, les exemplaires des trois contrats qu'elle a produits en procédure ne portent pas seulement, pour le compte de A.________, la signature figurative mais sont cosignés par O.________ (Pièces A.________ n°s 2, 3 et 4), il a été retenu par la cour cantonale que O.________ a reconnu les avoir signés postérieurement à l'apposition de la signature figurative et qu'il l'a fait sur instruction du " propriétaire " de A.________. Les exemplaires produits par la demanderesse ne portent, eux, que la signature figurative (Pièces B.________ n°s 3, 4 et 5). La cour cantonale n'a pas ignoré que chacune des parties avait produit les exemplaires des contrats qu'elle avait en ses mains et, bien que la constatation figurant en page 12 consid. 7.2 de l'arrêt soit imprécise, elle ne peut qu'être comprise dans le sens que les trois contrats n'ont été signés initialement, pour le compte de A.________, que par le mystérieux signataire à la signature figurative et contresignés seulement ultérieurement par O.________. En réalité, toute l'argumentation de la recourante repose sur le fait que, pour elle, les contrats signés initialement ne la liaient pas tant qu'ils n'avaient pas été signés par son organe formel, O.________, ce qu'elle veut voir appliquer également à la convention du 28 mai 2012. Or, la question est précisément de savoir si le mystérieux signataire à la signature figurative a obligé la société par sa seule signature dès le moment où il l'a apposée sur le timbre humide. Le grief de constatation arbitraire des faits soulevé par la recourante est donc infondé.</w:t>
      </w:r>
    </w:p>
    <w:p>
      <w:r>
        <w:rPr>
          <w:b/>
        </w:rPr>
        <w:t>E. 3.2</w:t>
      </w:r>
    </w:p>
    <w:p>
      <w:r>
        <w:t>Il n'y a pas lieu d'examiner en l'état, comme on le verra, les deux autres griefs de fait soulevés par la recourante.</w:t>
      </w:r>
    </w:p>
    <w:p>
      <w:r>
        <w:rPr>
          <w:b/>
        </w:rPr>
        <w:t>E. 4</w:t>
      </w:r>
    </w:p>
    <w:p>
      <w:r>
        <w:t>Lorsque les parties sont convenues de donner une forme spéciale à un contrat pour lequel la loi n'en exige point ( art. 16 al. 1 CO ), il faut commencer par établir ce que les parties ont réellement voulu ou, à défaut, quel sens on peut de bonne foi attribuer à leurs déclarations de volonté, conformément aux principes généraux sur l'interprétation des manifestations de volonté ( ATF 144 III 93 consid. 5.2). Une fois que le contenu du contrat aura été défini, il faudra examiner si les parties se sont suffisamment exprimées en la forme choisie ( ATF 122 III 361 consid. 4; 121 III 118 consid. 4b/bb; arrêt 4A_172/2018 du 13 septembre 2018 consid. 4.3.1).</w:t>
      </w:r>
    </w:p>
    <w:p>
      <w:r>
        <w:rPr>
          <w:b/>
        </w:rPr>
        <w:t>E. 5</w:t>
      </w:r>
    </w:p>
    <w:p>
      <w:r>
        <w:t>Avant d'examiner la question litigieuse de l'admissibilité de la représentation de la SA par un organe de fait, il s'impose de rappeler quelles sont les personnes qui peuvent valablement représenter la société anonyme (ci-après: la SA) dans la conclusion d'actes juridiques avec des tiers et, partant, peuvent obliger contractuellement celle-là envers ceux-ci.</w:t>
      </w:r>
    </w:p>
    <w:p>
      <w:r>
        <w:rPr>
          <w:b/>
        </w:rPr>
        <w:t>E. 5.1</w:t>
      </w:r>
    </w:p>
    <w:p>
      <w:r>
        <w:t>En premier lieu, la SA est représentée à l'égard des tiers par ses organes conformément à l' art. 718 CO .</w:t>
      </w:r>
    </w:p>
    <w:p>
      <w:r>
        <w:rPr>
          <w:b/>
        </w:rPr>
        <w:t>E. 5.1.1</w:t>
      </w:r>
    </w:p>
    <w:p>
      <w:r>
        <w:t>L' art. 718 CO est une lex specialis par rapport à l' art. 55 al. 1 et 2 CC . Il est expressément réservé par l' art. 59 al. 2 CC (Julia Xoudis, in Commentaire romand, Code civil I, 2010, n° 13-14 ad art. 59 CC ; Huguenin/Reitze, in Basler Kommentar, Zivilgesetzbuch I, 6e éd. 2018, n° 3 ad art. 59 CC ). En dépit des notes marginales " Représentation " (" Vertretung ") de l' art. 718 CO et " Responsabilité pour les organes " (" Haftung der Organe ") de l' art. 722 CO et du texte légal, qui utilisent la terminologie du registre du commerce (Peter Böckli, Schweizer Aktienrecht, 4 e éd. 2009, § 13 n° 496), l' art. 718 CO , comme d'ailleurs l' art. 55 al. 2 CC , est une norme d'imputation: l'acte de l'organe est directement attribué à la personne morale comme son acte propre. Autrement dit, les organes ne sont pas des représentants au sens des art. 32 ss CO , mais lorsqu'ils agissent, c'est la société elle-même qui agit (arrêt 4A_357/2007 du 8 avril 2008 consid. 4.2; cf. Peter/Cavadini, in Commentaire romand, Code des obligations II, 2 e éd. 2017, n° 7 ad art. 718 CO ). Il en va de même de l' art. 722 CO , en vertu duquel les actes illicites des organes sont ceux de la personne morale elle-même ( ATF 121 III 176 consid. 4d; cf. Peter/Cavadini, op. cit., n° 2 ad art. 722 CO ). On utilisera donc ci-après, comme le fait le texte de l' art. 718 CO , le terme de représentation ( Vertretung ) pour désigner les actes juridiques de la SA accomplis par ses organes et qui sont imputés à celle-ci.</w:t>
      </w:r>
    </w:p>
    <w:p>
      <w:r>
        <w:rPr>
          <w:b/>
        </w:rPr>
        <w:t>E. 5.1.1.1</w:t>
      </w:r>
    </w:p>
    <w:p>
      <w:r>
        <w:t>Sont des organes, au sens de l' art. 718 CO , qui peuvent représenter la SA à l'égard des tiers: - premièrement, chacun des membres du conseil d'administration (" sauf disposition contraire des statuts ou du règlement d'organisation ") ( art. 718 al. 1 2 e phr. CO) ou, exceptionnellement, le conseil d'administration in corpore ( art. 718 al. 1 1 ère phr. CO; ATF 141 III 80 consid. 1.3); - deuxièmement, un ou des membres délégués du conseil d'admi- nistration ou des tiers directeurs, auxquels le conseil d'adminis- tration a délégué son pouvoir de représentation ( art. 718 al. 2 CO ). Ces organes (exécutifs) ont en principe le droit d'accomplir au nom de la SA tous les actes que peut impliquer le but social ( art. 718a al. 1 CO ; arrêt 4A_147/2014 du 19 novembre 2014 consid. 3.1.1 et les arrêts cités). Leurs pouvoirs peuvent toutefois être limités (cf. art. 718a al. 2 CO ).</w:t>
      </w:r>
    </w:p>
    <w:p>
      <w:r>
        <w:rPr>
          <w:b/>
        </w:rPr>
        <w:t>E. 5.2</w:t>
      </w:r>
    </w:p>
    <w:p>
      <w:r>
        <w:t>En deuxième lieu, la SA peut être représentée à l'égard des tiers par des fondés de procuration et d'autres mandataires commerciaux ( art. 721 CO ), nommés par le conseil d'administration. Ils n'ont pas la qualité d'organes et représentent la SA en vertu de leurs pouvoirs de représentation spécifiques ( art. 458 et 462 CO ).</w:t>
      </w:r>
    </w:p>
    <w:p>
      <w:r>
        <w:rPr>
          <w:b/>
        </w:rPr>
        <w:t>E. 5.3</w:t>
      </w:r>
    </w:p>
    <w:p>
      <w:r>
        <w:t>En troisième lieu, peuvent représenter la SA, les personnes qui ont la qualité de représentants civils au sens des art. 32 ss CO . Ces règles générales sur la représentation s'appliquent en effet en l'absence de dispositions spéciales ( art. 40 CO ; Christine Chappuis, in Commentaire romand, Code des obligations I, 2e éd. 2012, n. 2 ad art. 40 CO ; Peter/Cavadini, op. cit., n° 2 ad art. 720 CO ; Marlis Koller-Tumler, in Basler Kommentar, Obligationenrecht I, 6e éd. 2015, n° 2 ad art. 40 CO ; Peter Jung, in Jung/Kunz/Bärtschi, Gesellschaftsrecht, 2e éd. 2018, § 6 n° 3 p. 219, n° 21 p. 234 et n° 37 ss p. 241; cf. ATF 128 III 129 consid. 2b; arrêt 4A_187/2018 du 21 février 2019 consid. 3.1.4 et 3.1.4.2).</w:t>
      </w:r>
    </w:p>
    <w:p>
      <w:r>
        <w:rPr>
          <w:b/>
        </w:rPr>
        <w:t>E. 5.4</w:t>
      </w:r>
    </w:p>
    <w:p>
      <w:r>
        <w:t>En l'espèce, le mystérieux signataire à la signature figurative qui a signé la convention du 28 mai 2012, en apposant sa signature sur le timbre humide de la société, ne revêt ni la qualité d'organe au sens de l' art. 718 CO , ni celle de fondé de procuration ou de mandataire commercial au sens de l' art. 721 CO .</w:t>
      </w:r>
    </w:p>
    <w:p>
      <w:r>
        <w:rPr>
          <w:b/>
        </w:rPr>
        <w:t>E. 6</w:t>
      </w:r>
    </w:p>
    <w:p>
      <w:r>
        <w:t>La cour cantonale a admis que le mystérieux signataire à la signature figurative a agi comme organe de fait de la SA défenderesse et que celle-ci est donc liée par la convention du 28 mai 2012 et sa reconnaissance de dette. La recourante le conteste. Pour admettre que la SA puisse ainsi être représentée par un organe de fait pour conclure un acte juridique, la cour cantonale s'est basée sur la jurisprudence rendue à propos des actes illicites des organes au sens des art. 55 al. 2 CC et 722 CO (art. 718 al. 3 aCO) et des actes illicites des personnes qui s'occupent de la gestion au sens de l' art. 754 CO .</w:t>
      </w:r>
    </w:p>
    <w:p>
      <w:r>
        <w:rPr>
          <w:b/>
        </w:rPr>
        <w:t>E. 6.1</w:t>
      </w:r>
    </w:p>
    <w:p>
      <w:r>
        <w:t>En vertu de l' art. 722 CO , respectivement de l' art. 55 al. 2 2 e hypothèse CC, la SA répond directement comme du sien propre du comportement illicite, non seulement de ses organes au sens formel, comme les membres du conseil d'administration ou les directeurs, mais également de ses organes au sens matériel ou de fait, c'est-à-dire les personnes qui exercent de facto des fonctions dirigeantes, peuvent prendre des décisions de manière indépendante et participent ainsi effectivement d'une façon décisive à la formation de la volonté sociale ( ATF 128 III 29 consid. 3a p. 31; 121 III 176 consid. 4a; arrêt 4A_54/2008 du 29 avril 2008 consid. 3.2), ainsi que des organes apparents, c'est-à-dire les personnes auxquelles la SA a donné l'apparence qu'elles sont des organes formels ou ont les pouvoirs d'organes de fait alors qu'elles ne les possèdent pas en réalité ( ATF 117 II 570 consid. 3 p. 571; arrêts 4A_544/2008 du 10 février 2009 consid. 2.3; 4A_50/2009 du 26 mars 2009 consid. 2.3; 4A_54/2008 précité consid. 3.2.3). Il résulte du texte même de l' art. 722 CO (" une personne autorisée à la gérer ou à la représenter ") qu'il n'est pas nécessaire que l'organe en cause ait le pouvoir de représenter la SA, c'est-à-dire d'obliger celle-ci contractuellement ( ATF 121 III 176 consid. 4a; 105 II 289 consid. 5a et 5b). Quant à la jurisprudence rendue à propos de l' art. 754 CO , qui traite de la responsabilité délictuelle individuelle des personnes qui gèrent la SA, elle soumet à cette disposition les organes formels, qui ont une compétence décisionnelle et ont été expressément désignés comme tels, les organes matériels, qui se sont vu conférer des pouvoirs à l'interne, et les organes de fait, soit toutes les personnes qui prennent en fait des décisions réservées aux organes ou qui se chargent de la gestion proprement dite des affaires et qui participent ainsi de manière décisive à la volonté de la société ( ATF 128 III 29 consid. 3a et les arrêts cités; 128 III 92 consid. 3).</w:t>
      </w:r>
    </w:p>
    <w:p>
      <w:r>
        <w:rPr>
          <w:b/>
        </w:rPr>
        <w:t>E. 6.2</w:t>
      </w:r>
    </w:p>
    <w:p>
      <w:r>
        <w:t>Contrairement à ce qu'a retenu la cour cantonale, cette jurisprudence ne saurait s'appliquer à la représentation de la SA pour conclure un acte juridique.</w:t>
      </w:r>
    </w:p>
    <w:p>
      <w:r>
        <w:rPr>
          <w:b/>
        </w:rPr>
        <w:t>E. 6.2.1</w:t>
      </w:r>
    </w:p>
    <w:p>
      <w:r>
        <w:t>Tout d'abord, il faut bien distinguer la représentation pour la conclusion d'actes juridiques au sens de l' art. 718 CO de la " responsabilité " délictuelle de la SA au sens de l' art. 722 CO et de la responsabilité personnelle des personnes qui gèrent la SA au sens de l' art. 754 CO . L'imputation à la SA des actes juridiques de ses organes ( rechtsgeschäftliche Zurechnung ) repose, en cas de limitation des pouvoirs internes de ceux-ci, sur la bonne foi du tiers ( art. 718a al. 2 CO ), alors que l'imputation des actes illicites de ses organes à la SA se base sur le comportement de l'organe agissant fonctionnellement dans le cadre général de ses attributions d'organe. Il résulte d'ailleurs de la jurisprudence que, si la SA est contractuellement liée à l'égard du tiers par l'acte juridique de son organe, il est superflu d'examiner si les conditions de sa responsabilité délictuelle au sens de l' art. 722 CO seraient aussi remplies; en revanche, si la SA n'est pas contractuellement liée au tiers par l'acte juridique de son organe, elle pourra être responsable du dommage causé par le comportement de celui-ci en vertu de l' art. 722 CO ( ATF 121 III 176 consid. 4a, qui examine la responsabilité pour acte illicite après avoir jugé que la SA n'est pas liée contractuellement). Le fait d'être liée contractuellement et le fait d'être responsable sont deux choses différentes.</w:t>
      </w:r>
    </w:p>
    <w:p>
      <w:r>
        <w:rPr>
          <w:b/>
        </w:rPr>
        <w:t>E. 6.2.2</w:t>
      </w:r>
    </w:p>
    <w:p>
      <w:r>
        <w:t>Ensuite, admettre qu'un organe de fait pourrait engager la SA par ses actes juridiques reviendrait à modifier le système légal. Le membre du conseil d'administration au sens de l' art. 718 al. 1 CO doit être indépendant et ne saurait se soumettre aux injonctions d'un tiers: en tant qu'il a été élu à une charge et a été inscrit au registre du commerce à ce titre, il ne saurait abandonner son pouvoir exécutif à un organe de fait; la personne, qui n'est ni élue ni inscrite au registre du commerce, ne peut, par son comportement, devenir titulaire des pouvoirs et droits d'un administrateur. Selon la doctrine, le conseil d'administration ne doit pas tolérer qu'un organe de fait agisse au nom de la SA (Böckli, op. cit., § 13 n° 92 ss et 625; Jung, op. cit., § 6 n° 18 p. 231; Michael Wyttenbach, Formelle, materielle und faktische Organe - einheitlicher Organbegriff?, 2012, p. 247 ss et 267 s.).</w:t>
      </w:r>
    </w:p>
    <w:p>
      <w:r>
        <w:rPr>
          <w:b/>
        </w:rPr>
        <w:t>E. 6.2.3</w:t>
      </w:r>
    </w:p>
    <w:p>
      <w:r>
        <w:t>Il s'ensuit que si un actionnaire unique ou majoritaire s'immisce dans la gestion de la SA, il n'a pas la qualité d'organe et n'oblige pas contractuellement la SA au sens de l' art. 718 CO . La SA peut toutefois être responsable des actes délictuels de celui-ci s'il remplit les conditions d'un organe de fait au sens de l' art. 722 CO .</w:t>
      </w:r>
    </w:p>
    <w:p>
      <w:r>
        <w:rPr>
          <w:b/>
        </w:rPr>
        <w:t>E. 6.3</w:t>
      </w:r>
    </w:p>
    <w:p>
      <w:r>
        <w:t>En l'espèce, le mystérieux signataire ne pouvait représenter la SA en qualité d'organe de fait.</w:t>
      </w:r>
    </w:p>
    <w:p>
      <w:r>
        <w:rPr>
          <w:b/>
        </w:rPr>
        <w:t>E. 7</w:t>
      </w:r>
    </w:p>
    <w:p>
      <w:r>
        <w:t>Il reste à examiner si ce mystérieux signataire a pu représenter la SA en qualité de représentant civil au sens des art. 32 ss CO .</w:t>
      </w:r>
    </w:p>
    <w:p>
      <w:r>
        <w:rPr>
          <w:b/>
        </w:rPr>
        <w:t>E. 7.1</w:t>
      </w:r>
    </w:p>
    <w:p>
      <w:r>
        <w:t>Selon le système légal, lorsque le représentant qui conclut le contrat manifeste agir au nom du représenté, le représenté (i.e. la SA) est lié dans trois cas de figure: (1) lorsque le représenté avait conféré les pouvoirs nécessaires au représentant dans leurs rapports internes (procuration interne; art. 32 al. 1 CO ); (2) en l'absence de pouvoirs internes conférés au représentant par le représenté, lorsque le tiers pouvait déduire l'existence de tels pouvoirs du fait du comportement du représenté dans leurs rapports externes (procuration apparente; art. 33 al. 3 CO ); et (3) en l'absence de pouvoirs internes conférés au représentant par le représenté, lorsque celui-ci a ratifié le contrat ( art. 38 al. 1 CO ) (cf. ATF 131 III 511 consid. 3.1 p. 517; 120 II 197 consid. 2 in initio p. 198).</w:t>
      </w:r>
    </w:p>
    <w:p>
      <w:r>
        <w:rPr>
          <w:b/>
        </w:rPr>
        <w:t>E. 7.1.1</w:t>
      </w:r>
    </w:p>
    <w:p>
      <w:r>
        <w:t>Dans un premier temps, le juge doit donc rechercher si le représentant avait des pouvoirs de représentation internes ( art. 32 al. 1 CO ), dont l'octroi peut être soit exprès, soit tacite (procuration interne par tolérance [ Duldungsbevollmächtigung ] ou procuration interne apparente [ Anscheinsbevollmächtigung ]); cf. ATF 141 III 289 consid. 4.1).</w:t>
      </w:r>
    </w:p>
    <w:p>
      <w:r>
        <w:rPr>
          <w:b/>
        </w:rPr>
        <w:t>E. 7.1.2</w:t>
      </w:r>
    </w:p>
    <w:p>
      <w:r>
        <w:t>Ce n'est que si le juge arrive à la conclusion que le représentant a agi sans pouvoirs de représentation internes, qu'il devra, dans un second temps, rechercher si la SA (i.e. la représentée) est contractuellement liée, soit parce que le tiers de bonne foi doit être protégé dans la communication qui lui a été faite par la SA de l'existence de pouvoirs ( art. 33 al. 3 CO ), soit parce que la SA a ratifié l'acte du représentant ( art. 38 al. 1 CO ).</w:t>
      </w:r>
    </w:p>
    <w:p>
      <w:r>
        <w:rPr>
          <w:b/>
        </w:rPr>
        <w:t>E. 7.1.2.1</w:t>
      </w:r>
    </w:p>
    <w:p>
      <w:r>
        <w:t>Pour que l' art. 33 al. 3 CO soit applicable, il faut (1) que le représentant ait agi au nom de la SA, sans avoir pour cela de pouvoirs de représentation internes (représentation sans pouvoirs), et (2) que le tiers ait cru de bonne foi à l'existence de pouvoirs internes du représentant parce que la SA (i.e. la représentée) avait porté à sa connaissance des pouvoirs qui vont au-delà des pouvoirs qu'elle avait effectivement conférés au représentant à titre interne ( ATF 131 III 511 consid. 3.2; 124 III 418 consid. 1c; 120 III 197 consid. 2b/cc; arrêt 4C.389/2002 du 21 mars 2003 consid. 4.2.2). L'idée est que celui qui laisse créer l'apparence d'un pouvoir de représentation est lié par les actes accomplis en son nom ( ATF 131 III 511 consid. 3.2.1 p. 518; arrêt 4A_54/2009 du 20 avril 2009 consid. 3.1; sur la communication externe tacite, soit la procuration externe par tolérance [ externe Duldungsvollmacht ] ou la procuration externe apparente [ externe Anscheinsvollmacht ], cf. ATF 120 II 197 consid. 2b/bb p. 201; arrêt 4A_313/2010 consid. 3.4.2.3).</w:t>
      </w:r>
    </w:p>
    <w:p>
      <w:r>
        <w:rPr>
          <w:b/>
        </w:rPr>
        <w:t>E. 7.1.2.2</w:t>
      </w:r>
    </w:p>
    <w:p>
      <w:r>
        <w:t>En vertu de l' art. 38 al. 1 CO , lorsque le représentant a agi sans pouvoirs de représentation internes, la SA est obligée contractuellement envers le tiers si elle a ratifié l'acte du représentant ( art. 38 al. 1 CO ).</w:t>
      </w:r>
    </w:p>
    <w:p>
      <w:r>
        <w:rPr>
          <w:b/>
        </w:rPr>
        <w:t>E. 7.2</w:t>
      </w:r>
    </w:p>
    <w:p>
      <w:r>
        <w:t>S'il résulte clairement des faits constatés dans l'arrêt attaqué qu'il n'y a pas eu de ratification de la convention par la SA au sens de l' art. 38 al. 1 CO , il appartiendra à la cour cantonale de se prononcer sur la réalisation des conditions de l' art. 32 al. 1 CO ou, à défaut, de l' art. 33 al. 3 CO , deux questions qu'elle n'a pas tranchées dans son arrêt, étant partie de la fausse conception d'une représentation de la SA par un organe de fait. Cas échéant, la cour cantonale devra encore examiner, en complétant son état de fait, le respect de la forme de la convention du 28 mai 2012, qui n'a été soulevée par la défenderesse qu'au stade des plaidoiries finales ( art. 105 al. 2 LTF ). En effet, à propos de la forme de la convention, son arrêt constate certes que l'art. 12.1 du contrat du 17 novembre 2010 précise que toutes les annexes, modifications et avenants au contrat sont valables à condition d'être faits par écrit et dûment signés par les représentants autorisés des parties, mais, dans son examen en droit, même si elle reproduit le grief de l'appelante de violation de l' art. 14 CO , la cour cantonale ne l'a pas traité, en violation du droit d'être entendu ( art. 29 al. 2 Cst. ).</w:t>
      </w:r>
    </w:p>
    <w:p>
      <w:r>
        <w:rPr>
          <w:b/>
        </w:rPr>
        <w:t>E. 8</w:t>
      </w:r>
    </w:p>
    <w:p>
      <w:r>
        <w:t>Il découle de ce qui précède que le recours doit être admis et la cause renvoyée à la cour cantonale pour nouvelle décision dans le sens des considérants. Partant, il est prématuré de traiter le grief d'arbitraire concernant les circonstances à l'origine du litige (le prétendu caractère déséquilibré de la convention) et, partant, leurs conséquences sur la convention/transaction du 28 mai 2012. Les frais judiciaires et les dépens sont mis à la charge de l'intimée qui succombe (art. 66 al. 1 et 68 al. 1 LTF), dès lors qu'elle a conclu au rejet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