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4A_454/2022 vom 17. November 2022</w:t>
      </w:r>
    </w:p>
    <w:p>
      <w:r>
        <w:t>Bundesgericht, 2022-11-17, FR</w:t>
      </w:r>
    </w:p>
    <w:p>
      <w:r>
        <w:rPr>
          <w:b/>
        </w:rPr>
        <w:t xml:space="preserve">Quelle: </w:t>
      </w:r>
      <w:r>
        <w:t>https://mcp.opencaselaw.ch/entscheid/bger_4A_454_2022</w:t>
      </w:r>
    </w:p>
    <w:p>
      <w:r>
        <w:t>FR: TF 4A_454/2022 du 17 novembre 2022</w:t>
      </w:r>
    </w:p>
    <w:p>
      <w:r>
        <w:t>IT: TF 4A_454/2022 del 17 novembre 2022</w:t>
      </w:r>
    </w:p>
    <w:p>
      <w:pPr>
        <w:pStyle w:val="Heading2"/>
      </w:pPr>
      <w:r>
        <w:t>Erwägungen</w:t>
      </w:r>
    </w:p>
    <w:p>
      <w:r>
        <w:rPr>
          <w:b/>
        </w:rPr>
        <w:t>E. 1</w:t>
      </w:r>
    </w:p>
    <w:p>
      <w:r>
        <w:t>Les conditions de recevabilité du recours en matière civile sont satisfaites, notamment à raison de la valeur litigieuse. Demeure réservé l'examen de la recevabilité, sous l'angle de leur motivation, des différents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2.2</w:t>
      </w:r>
    </w:p>
    <w:p>
      <w:r>
        <w:t>Dans son mémoire de recours, l'intéressé, sous la rubrique " Rappel des faits pertinents ", expose sa propre version des circonstances factuelles de la cause en litige sans se limiter aux seuls éléments de fait constatés par les juges précédents et ne respecte nullement les exigences rappelées ci-dessus applicables en matière de critique de l'état de fait respectivement de complètement des faits. La Cour de céans n'en tiendra dès lors pas compte.</w:t>
      </w:r>
    </w:p>
    <w:p>
      <w:r>
        <w:rPr>
          <w:b/>
        </w:rPr>
        <w:t>E. 3</w:t>
      </w:r>
    </w:p>
    <w:p>
      <w:r>
        <w:t>Invoquant en premier lieu l' art. 97 al. 1 LTF , le recourant prétend que l'autorité précédente aurait établi les faits et apprécié les preuves administrées de façon arbitraire.</w:t>
      </w:r>
    </w:p>
    <w:p>
      <w:r>
        <w:rPr>
          <w:b/>
        </w:rPr>
        <w:t>E. 3.1</w:t>
      </w:r>
    </w:p>
    <w:p>
      <w:r>
        <w:t>L'intéressé reproche, en substance, à la cour cantonale de n'avoir tenu compte, lors de la détermination du salaire perçu par l'intimé, que d'un montant mensuel de 290 fr. pour le logement mis à sa disposition, au lieu du montant de 900 fr. par mois qu'il avait pourtant allégué. A cet égard, il fait valoir que la déduction mensuelle pour le logement aurait dû à tout le moins être fixée à 345 fr., montant correspondant à celui préconisé par l'Administration fédérale contributions (AFC) dans sa notice sur la manière d'estimer les prélèvements en nature et les parts privées aux frais généraux des propriétaires d'entreprises agricoles et forestières. A en croire le recourant, l'autorité précédente aurait sombré dans l'arbitraire en aboutissant à la conclusion que le montant recommandé par l'AFC ne pouvait concerner que des logements dans un clairement meilleur état que celui mis à disposition de l'intimé. L'intéressé est d'avis que la juridiction cantonale a ignoré, sans raison, divers témoignages établissant que le logement en question offrait des conditions satisfaisantes. Il se plaint en outre de ce que l'autorité précédente n'a pas procédé à une distinction, dans la fixation de la déduction pour le loyer, entre les deux logements mis à disposition de l'intimé, alors même que l'état du logement estival ne faisait l'objet d'aucune critique. Enfin, le recourant fait grief à la cour cantonale de n'avoir pas tenu compte, en sus, des frais de repas et d'électricité pris en charge par ses soins.</w:t>
      </w:r>
    </w:p>
    <w:p>
      <w:r>
        <w:rPr>
          <w:b/>
        </w:rPr>
        <w:t>E. 3.2</w:t>
      </w:r>
    </w:p>
    <w:p>
      <w:r>
        <w:t>L'argumentation du recourant s'épuise largement dans une critique appellatoire, dénuée de toute démonstration d'arbitraire de l'appréciation des preuves et de l'établissement des faits par la cour cantonale. L'intéressé se contente en effet d'exposer sa propre thèse et d'opposer sa propre appréciation des preuves disponibles à celle opérée par la cour cantonale pour taxer la solution retenue par les juges précédents d'arbitraire. La recevabilité du grief apparaît ainsi sujette à caution.</w:t>
      </w:r>
    </w:p>
    <w:p>
      <w:r>
        <w:t>Quoi qu'il en soit, les constatations critiquées n'apparaissent de toute manière pas insoutenables, ce qui seul importe dans le cadre d'un examen fait sous l'angle de l'arbitraire. Force est d'emblée de relever que l'intéressé est malvenu de venir se plaindre de la manière dont la cour cantonale a arrêté le montant de la déduction pour le loyer du logement remis à l'intimé. L'autorité précédente a en effet souligné que le recourant n'avait ni exposé ni allégué, lors de la procédure de première instance, la manière correcte selon lui de calculer les salaires de son employé, mais avait cherché, au stade de l'appel, à pallier ses allégations lacunaires en présentant une nouvelle version des faits sur ce point. C'est dès lors à tort que le recourant se plaint de ce que la cour cantonale n'a pas opéré de déduction pour les frais de nourriture et de chauffage, puisque ceux-ci n'ont jamais été allégués, de manière conforme aux exigences procédurales, devant l'autorité de première instance.</w:t>
      </w:r>
    </w:p>
    <w:p>
      <w:r>
        <w:t>L'intéressé échoue également à démontrer que la cour cantonale aurait fait preuve d'arbitraire en admettant une déduction de 290 fr. par mois pour le logement mis à disposition de l'intimé. Sur ce point, l'autorité précédente a jugé que, nonobstant la faiblesse des allégations de première instance sur cet aspect du litige, la réalité de la contre-prestation en nature dont avait bénéficié l'intimé et l'accord de celui-ci quant au principe d'une retenue pour prestations en nature étaient établis. Pour arrêter le montant retenu par elle, la cour cantonale a souligné que le recourant avait notamment appliqué le montant de 290 fr. par mois et que l'intimé avait accepté, à titre subsidiaire, ladite somme au stade de l'appel. Faute d'allégations plus détaillées de sa part, le recourant ne saurait reprocher à l'autorité précédente de n'avoir pas retenu une montant supérieur pour le logement mis à disposition de l'intimé durant la saison d'estivage.</w:t>
      </w:r>
    </w:p>
    <w:p>
      <w:r>
        <w:t>C'est également en vain que l'intéressé se plaint de ce que l'autorité précédente aurait accordé un poids démesuré au témoignage du père de l'intimé, tout en ignorant d'autres témoignages, pour retenir que le local dans lequel résidait l'intimé pendant la saison d'hivernage n'offrait pas des conditions satisfaisantes. L'autorité précédente a en effet tenu compte d'un faisceau d'éléments pour apprécier l'état du logement en question. Elle a souligné que la pièce mise à disposition de l'intimé faisait office de chambre à coucher et de cuisine dans laquelle on ne pouvait pas être à l'aise malgré la présence d'une chaudière. Elle a relevé que le recourant avait indiqué, juste après l'incendie, qu'il n'y avait pas eu de locataires depuis 25 ans dans cette bâtisse, à l'exception de bergers qui y séjournaient durant la période d'hivernage. En 2014, le maître-ramoneur en charge du bâtiment avait en outre indiqué qu'il n'avait pas effectué le contrôle auquel il était légalement tenu, dès lors que le bâtiment était inoccupé depuis près de 30 ans. Le jugement rendu le 29 décembre 2016 par l'autorité pénale à la suite de l'incendie survenu le 16 décembre 2013 décrivait aussi un local exigu, " vraiment pas apte à être habité et dépourvu de toutes commodités voire même des installations minimales propres à une vie digne " et précisait que le terme de taudis était " certainement très proche de la réalité ". A la lumière de l'ensemble de ces éléments, la cour cantonale n'a nullement sombré dans l'arbitraire en écartant le montant mensuel de 345 fr. préconisé par l'AFC et en retenant une déduction de 290 fr. par mois pour le logement mis à disposition de l'intimé. Il s'ensuit le rejet du grief examiné dans la mesure de sa recevabilité.</w:t>
      </w:r>
    </w:p>
    <w:p>
      <w:r>
        <w:rPr>
          <w:b/>
        </w:rPr>
        <w:t>E. 4</w:t>
      </w:r>
    </w:p>
    <w:p>
      <w:r>
        <w:t>En deuxième lieu, le recourant dénonce une violation de l' art. 337d CO . Il reproche à la cour cantonale d'avoir écarté la thèse d'un abandon de poste de la part de l'intimé.</w:t>
      </w:r>
    </w:p>
    <w:p>
      <w:r>
        <w:rPr>
          <w:b/>
        </w:rPr>
        <w:t>E. 4.1</w:t>
      </w:r>
    </w:p>
    <w:p>
      <w:r>
        <w:t>Il y a abandon d'emploi selon l' art. 337d CO lorsque le travailleur quitte son poste abruptement sans justes motifs. L'application de cette disposition présuppose un refus du travailleur de poursuivre l'exécution du travail confié. Dans ce cas, le contrat de travail prend fin immédiatement, sans que l'employeur doive adresser au salarié une résiliation immédiate de son contrat. L'employeur a droit, aux conditions fixées par l' art. 337d CO , à une indemnité et, le cas échéant, à la réparation du dommage supplémentaire (arrêt 4A_35/2017 du 31 mai 2017 consid. 4.2;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(arrêts 4C.303/2005 du 1er décembre 2005 consid. 2.2; 4C.370/2001 du 14 mars 2002 consid. 2a).</w:t>
      </w:r>
    </w:p>
    <w:p>
      <w:r>
        <w:rPr>
          <w:b/>
        </w:rPr>
        <w:t>E. 4.2</w:t>
      </w:r>
    </w:p>
    <w:p>
      <w:r>
        <w:t>En l'occurrence, la cour cantonale a constaté que l'intimé s'était trouvé en incapacité de travail dès le lendemain de l'incendie, à savoir le 17 septembre 2013, et qu'il avait été suivi médicalement à compter du 23 décembre 2013. Il ressortait des notes établies par le médecin traitant de l'intimé et des certificats médicaux établis que ce dernier se trouvait sous le choc des suites de l'incendie, qu'il souffrait d'idéations suicidaires, d'insomnies, de troubles gastriques et d'une perte de poids et peut-être d'un stress post-traumatique. L'intimé, qui avait certes déclaré vouloir partir à la suite de l'incendie, s'était rendu dans un foyer pour pouvoir bénéficier d'un suivi médical fin décembre 2013. La cour cantonale a considéré que l'affirmation selon laquelle l'intimé n'aurait pas tenu son employeur informé du fait qu'il était en incapacité de travail était erronée. Le mandataire de l'intimé avait, en effet, transmis, dès le 8 janvier 2014, une copie des certificats médicaux de son client à l'employeur. Or, le recourant n'a jamais contesté la validité des certificats médicaux pas plus qu'il n'a remis en cause la continuation des rapports de travail. Le 9 avril 2014, il a du reste attesté auprès de l'assurance-chômage que son employé avait cessé son activité professionnelle le 1er avril 2014. Il n'a pas davantage allégué, lors de la procédure de première instance, que les rapports de travail auraient pris fin le 17 décembre 2013 en raison d'un abandon de poste. La cour cantonale a ainsi considéré que l'intimé était incapable de travailler, dès le lendemain de l'incendie, et qu'elle ne pouvait pas se fonder sur des faits non allégués en première instance pour retenir l'existence d'un prétendu abandon de poste.</w:t>
      </w:r>
    </w:p>
    <w:p>
      <w:r>
        <w:rPr>
          <w:b/>
        </w:rPr>
        <w:t>E. 4.3</w:t>
      </w:r>
    </w:p>
    <w:p>
      <w:r>
        <w:t>A l'encontre de cette motivation détaillée, le recourant se contente de faire valoir que deux témoins et l'intimé lui-même ont indiqué que ce dernier était parti du jour au lendemain. Ce faisant, il se borne à substituer sa propre appréciation des preuves à celle effectuée par la cour cantonale, sans nullement soutenir ni</w:t>
      </w:r>
    </w:p>
    <w:p>
      <w:r>
        <w:t>a fortiori démontrer que celle-ci aurait sombré dans l'arbitraire en retenant que l'intimé avait cessé de travailler dès le 17 décembre 2013 en raison d'une incapacité de travail. Le grief considéré ne saurait ainsi prospérer.</w:t>
      </w:r>
    </w:p>
    <w:p>
      <w:r>
        <w:rPr>
          <w:b/>
        </w:rPr>
        <w:t>E. 5</w:t>
      </w:r>
    </w:p>
    <w:p>
      <w:r>
        <w:t>En troisième et dernier lieu, le recourant reproche à l'autorité précédente d'avoir enfreint l' art. 2 al. 2 CC . A cet égard, il soutient que l'intéressé aurait valablement renoncé à l'indemnisation de ses vacances, congés et jours fériés, en apposant sa signature, à la fin de chaque mois, dans un carnet vert détaillant les versements effectués en faveur de l'intimé. Il fait grief à la cour cantonale d'avoir violé le principe de la bonne foi, en ignorant la circonstance selon laquelle l'intimé s'était accommodé de ce mode de faire au cours de la première relation de travail nouée par les deux hommes.</w:t>
      </w:r>
    </w:p>
    <w:p>
      <w:r>
        <w:rPr>
          <w:b/>
        </w:rPr>
        <w:t>E. 5.1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 ATF 143 III 666 consid. 4.2; 143 III 279 consid. 3.1; 140 III 583 consid. 3.2.4). Il incombe à la partie qui se prévaut d'un abus de droit d'établir les circonstances particulières autorisant à retenir une telle exception ( ATF 135 III 162 consid. 3.3.1;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Des circonstances particulières sont requises en sus d'un comportement contradictoire, lorsqu'une partie revient sur son consentement à un contrat dont elle conteste ensuite la validité au motif qu'il contrevient au droit impératif. Sans cette exigence supplémentaire, on en viendrait, par le biais de l' art. 2 CC , à priver le travailleur de la protection conférée par le droit impératif (arrêts 4A_215/2017 du 15 janvier 2019 consid. 6.1; 4A_230/2018 du 15 janvier 2019 consid. 3.1; ATF 129 III 493 consid. 5.1; 129 III 618 consid. 5.2).</w:t>
      </w:r>
    </w:p>
    <w:p>
      <w:r>
        <w:rPr>
          <w:b/>
        </w:rPr>
        <w:t>E. 5.2</w:t>
      </w:r>
    </w:p>
    <w:p>
      <w:r>
        <w:t>En l'espèce, le recourant estime, en substance, que l'intimé devrait être déchu de son droit à l'indemnisation des vacances ainsi que des jours de congé et fériés dès lors qu'il aurait signé sans réserve un carnet de quittances, puisqu'il n'a jamais remis en cause cette manière de procéder au cours de la première relation de travail nouée par les deux hommes. L'intéressé fait fausse route. Un abus de droit ne saurait se concevoir de ce seul fait. Après avoir correctement exposé les principes juridiques applicables, la cour cantonale a en effet considéré que la signature dudit carnet ne constituait nullement un arrangement comportant des concessions réciproques au sens de l' art. 341 al. 1 CO . Le recourant ne s'en prend pas à cette motivation. L'argumentation développée par l'intéressé laisse tout au plus entrevoir que l'intimé n'avait pas cerné qu'il disposait d'un droit à faire valoir certaines prétentions découlant du premier contrat de travail conclu par les parties. Qu'il ait ensuite exercé ses droits n'a rien d'abusif. Ce dernier grief se révèle également infondé.</w:t>
      </w:r>
    </w:p>
    <w:p>
      <w:r>
        <w:rPr>
          <w:b/>
        </w:rPr>
        <w:t>E. 6</w:t>
      </w:r>
    </w:p>
    <w:p>
      <w:r>
        <w:t>Au vu de ce qui précède, le recours, manifestement infondé, doit être rejeté dans la mesure de sa recevabilité selon la procédure simplifiée prévue par l' art. 109 al. 2 let. a LTF , ce qui rend la demande d'effet suspensif sans objet.</w:t>
      </w:r>
    </w:p>
    <w:p>
      <w:r>
        <w:t>Le recourant, qui succombe, supportera les frais de la présente procédure ( art. 66 al. 1 LTF ). Il n'aura en revanche pas à verser d'indemnité pour les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