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4A_453/2012 vom 5. November 2012</w:t>
      </w:r>
    </w:p>
    <w:p>
      <w:r>
        <w:t>Bundesgericht, 2012-11-05, FR</w:t>
      </w:r>
    </w:p>
    <w:p>
      <w:r>
        <w:rPr>
          <w:b/>
        </w:rPr>
        <w:t xml:space="preserve">Quelle: </w:t>
      </w:r>
      <w:r>
        <w:t>https://mcp.opencaselaw.ch/entscheid/bger_4A_453_2012</w:t>
      </w:r>
    </w:p>
    <w:p>
      <w:r>
        <w:t>FR: TF 4A_453/2012 du 5 novembre 2012</w:t>
      </w:r>
    </w:p>
    <w:p>
      <w:r>
        <w:t>IT: TF 4A_453/2012 del 5 novembre 2012</w:t>
      </w:r>
    </w:p>
    <w:p>
      <w:pPr>
        <w:pStyle w:val="Heading2"/>
      </w:pPr>
      <w:r>
        <w:t>Erwägungen</w:t>
      </w:r>
    </w:p>
    <w:p>
      <w:r>
        <w:rPr>
          <w:b/>
        </w:rPr>
        <w:t>E. 1</w:t>
      </w:r>
    </w:p>
    <w:p>
      <w:r>
        <w:t>La CRCT est une autorité cantonale, instituée et régie par la législation cantonale. Celle-ci lui confère, entre autres, la tâche de prévenir et concilier, dans la mesure du possible, les différends d'ordre collectif concernant les conditions de travail (art. 1 al. 1 let. a LCRCT/GE); sa compétence s'étend à toutes les entreprises soumises ou non à la LTr (loi fédérale sur le travail dans l'industrie, l'artisanat et le commerce - RS 822.11; art. 2 LCRCT/GE). Dès lors, c'est une question de droit cantonal que de savoir si la CRCT était compétente pour se saisir du litige opposant le recourant et l'intimée.</w:t>
      </w:r>
    </w:p>
    <w:p>
      <w:r>
        <w:t>Le recours au Tribunal fédéral n'est pas ouvert pour se plaindre d'une violation du droit cantonal, hormis dans le domaine des droits constitutionnels et des droits politiques ( art. 95 let . c et d LTF). Pour le surplus, l'application du droit cantonal peut être revue uniquement sous l'angle d'une violation de l'interdiction constitutionnelle de l'arbitraire ( art. 9 Cst. ) ou de la violation d'un autre droit constitutionnel ( ATF 133 III 462 consid. 2.3). Le Tribunal fédéral n'examine que les griefs constitutionnels expressément invoqués et motivés de manière précise ( art. 106 al. 2 LTF ; ATF 134 II 244 consid. 2.2; 133 II 249 consid. 1.4.2).</w:t>
      </w:r>
    </w:p>
    <w:p>
      <w:r>
        <w:t>En l'espèce, le recourant ne soulève pas le grief d'arbitraire; dans la mesure où il explique de quelle manière, selon lui, la LCRCT/GE devait être interprétée, il se cantonne dans une critique irrecevable du droit cantonal. Cela étant, il invoque deux dispositions constitutionnelles se rapportant aux principes de légalité ( art. 5 al. 1 Cst. ) et d'égalité de traitement ( art. 8 Cst. ).</w:t>
      </w:r>
    </w:p>
    <w:p>
      <w:r>
        <w:rPr>
          <w:b/>
        </w:rPr>
        <w:t>E. 2</w:t>
      </w:r>
    </w:p>
    <w:p>
      <w:r>
        <w:t>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134 I 322 consid. 2.1; 129 I 161 consid. 2.1). Le recourant ne soulève pas de critique dans ce sens, ce qui scelle le sort du grief.</w:t>
      </w:r>
    </w:p>
    <w:p>
      <w:r>
        <w:t>Au demeurant, la Chambre des prud'hommes s'est fondée sur les art. 1 et 2 LCRCT/GE pour admettre la compétence de la CRCT. Ces dispositions statuées dans une loi formelle sont une base légale suffisante pour instituer une autorité de conciliation et définir ses compétences. Savoir si la Chambre des prud'hommes s'est à tort ou à raison prévalue de ces dispositions pour admettre la compétence de la CRCT dans le cas d'espèce n'est pas une question relevant du principe de la légalité, mais de l'interprétation et l'application d'une disposition légale cantonale dans un cas particulier.</w:t>
      </w:r>
    </w:p>
    <w:p>
      <w:r>
        <w:rPr>
          <w:b/>
        </w:rPr>
        <w:t>E. 3</w:t>
      </w:r>
    </w:p>
    <w:p>
      <w:r>
        <w:t>Une loi viole le principe de l'égalité de traitement lorsqu'elle établit des distinctions juridiques qui ne se justifient par aucun motif raisonnable au regard de la situation de fait à réglementer, ou lorsqu'elle omet de faire des distinctions qui s'imposent au vu des circonstances, en bref lorsque des situations semblables ne sont pas traitées de manière identique ou lorsque des situations dissemblables ne sont pas différenciées. Il faut que le traitement différent ou semblable injustifié se rapporte à une situation de fait importante. Le législateur dispose d'un large pouvoir d'appréciation dans le cadre de ces principes ( ATF 137 I 167 consid. 3.5).</w:t>
      </w:r>
    </w:p>
    <w:p>
      <w:r>
        <w:t>Le recourant plaide en substance que la solution retenue crée une inégalité de traitement entre les fonctionnaires travaillant dans des établissements de droit public autonomes et les fonctionnaires de l'administration cantonale. En effet, celle-ci ne saurait être considérée comme une entreprise au sens de l'art. 2 LCRCT. En conséquence, les fonctionnaires de l'administration et leurs représentants syndicaux échappent au régime de cette loi, tandis que les fonctionnaires d'établissements autonomes sont contraints de déférer à une éventuelle convocation de la CRCT et de renoncer à toutes mesures de lutte durant la procédure de conciliation (cf. art. 12 LCRCT/GE).</w:t>
      </w:r>
    </w:p>
    <w:p>
      <w:r>
        <w:t>La décision de la Cour de justice ne permet pas en soi de tirer des conclusions définitives quant au point de savoir si l'administration cantonale doit ou non être considérée comme une entreprise entrant dans le champ de compétence de la CRCT. Quoi qu'il en soit, le statut de fonctionnaire cantonal genevois est accordé très largement et à des personnes exerçant des activités très diverses (cf. art. 1 et 5 LPAC/GE). On ne discerne pas en quoi une différence de traitement, sur certains points, des multiples catégories de fonctionnaires serait à priori incompatible avec le principe d'égalité, du simple fait qu'ils bénéficient tous du même statut légal; au vu des fonctions très variées exercées par les fonctionnaires, on ne voit en particulier pas pour quel motif une différenciation dans l'admissibilité de mesures de combat durant une procédure de conciliation serait injustifiée. A tout le moins le recourant, qui en reste à des généralités, ne démontre-t-il pas le contraire.</w:t>
      </w:r>
    </w:p>
    <w:p>
      <w:r>
        <w:rPr>
          <w:b/>
        </w:rPr>
        <w:t>E. 4</w:t>
      </w:r>
    </w:p>
    <w:p>
      <w:r>
        <w:t>Le recours est infondé dans la mesure où il est recevable. Le recourant supporte les frais ( art. 66 LTF ). Il n'est pas alloué de dépens à l'intimée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