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453/2010 vom 18. November 2010</w:t>
      </w:r>
    </w:p>
    <w:p>
      <w:r>
        <w:t>Bundesgericht, 2010-11-18, FR</w:t>
      </w:r>
    </w:p>
    <w:p>
      <w:r>
        <w:rPr>
          <w:b/>
        </w:rPr>
        <w:t xml:space="preserve">Quelle: </w:t>
      </w:r>
      <w:r>
        <w:t>https://mcp.opencaselaw.ch/entscheid/bger_4A_453_2010</w:t>
      </w:r>
    </w:p>
    <w:p>
      <w:r>
        <w:t>FR: TF 4A 453/2010 du 18 novembre 2010</w:t>
      </w:r>
    </w:p>
    <w:p>
      <w:r>
        <w:t>IT: TF 4A 453/2010 del 18 novembre 2010</w:t>
      </w:r>
    </w:p>
    <w:p>
      <w:pPr>
        <w:pStyle w:val="Heading2"/>
      </w:pPr>
      <w:r>
        <w:t>Regeste</w:t>
      </w:r>
    </w:p>
    <w:p>
      <w:r>
        <w:t>procédure civile; compétence à raison de la matière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30'000 fr. (art. 51 al. 1 let. a et 74 al. 1 let. b LTF); le recours a été introduit en temps utile ( art. 100 al. 1 LTF ) et dans les formes requises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Le recours n'est pas recevable pour violation du droit cantonal, hormis les droits constitutionnels cantonaux ( art. 95 let . c LTF) et certaines dispositions sans pertinence en matière civile ( art. 95 let . d LTF). 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A teneur de l'art. 22 de la loi genevoise sur l'organisation judiciaire, du 22 novembre 1941 (OJ gen.), le Tribunal de première instance connaît en premier ou dernier ressort, selon la valeur litigieuse, de toutes les contestations en matière civile et commerciale, mobilière et immobilière. Sa compétence est toutefois exclue dans les causes qui ressortissent au Tribunal de prud'hommes, selon la loi sur la juridiction des prud'hommes du 25 février 1999 (LJP gen.); il s'agit surtout, selon l'art. 1er al. 1 let. a LJP gen., des contestations entre employeurs et salariés pour tout ce qui concerne leurs rapports découlant d'un contrat de travail, au sens du titre dixième du code des obligations. Selon la décision attaquée qui fait référence à diverses contributions doctrinales, ces règles de compétences doivent être appliquées d'après la nature du droit invoqué, déterminée à partir des conclusions et des motifs de la demande, indépendamment de la qualification juridique avancée par la partie demanderesse. Lorsque celle-ci élève une prétention unique reposant sur des fondements juridiques distincts, et que ceux-ci, considérés séparément, relèveraient de juridictions différentes, la compétence est déterminée d'après le caractère prédominant du litige. En cas de conflit de compétence entre la juridiction ordinaire et une juridiction spéciale, telles que, respectivement, le Tribunal de première instance et le Tribunal de prud'hommes, celle-là est compétente si le litige ne comporte aucun caractère prédominant ou qu'il subsiste des doutes à ce sujet. S'il faut élucider la véritable nature juridique des rapports existant entre un collaborateur et un groupe de sociétés, celui-ci ne peut pas invoquer l'indépendance formelle des personnes morales qui le composent et la société employeuse doit être déterminée d'après le principe de l'interdiction de l'abus de droit. La demanderesse ne met pas en doute que ces critères soient conformes aux dispositions légales précitées, ni qu'ils soient pertinents dans la présente affaire; en revanche, elle reproche à la Cour de justice de les avoir appliqués d'une manière inconciliable avec les art. 18 CO ou 9 Cst.</w:t>
      </w:r>
    </w:p>
    <w:p>
      <w:r>
        <w:rPr>
          <w:b/>
        </w:rPr>
        <w:t>E. 3</w:t>
      </w:r>
    </w:p>
    <w:p>
      <w:r>
        <w:t>L' art. 18 CO régit l'interprétation des déclarations et manifestations de volonté réciproques des cocontractants (cf. ATF 135 III 410 consid. 3.2 p. 412; 133 III 675 consid. 3.3 p. 681). La demanderesse s'y réfère pour soutenir que la Cour de justice n'a pas élucidé correctement l'objet des contrats conclus le 30 juin 2003. Il est vrai que l'application de l'art. 1er al. 1 let. a LJP gen. nécessite de qualifier la relation contractuelle des parties sur la base des règles de droit civil fédéral relatives au contrat de travail. Néanmoins, parce que le droit fédéral n'impose pas aux cantons d'attribuer le contentieux du contrat de travail à une juridiction distincte de celles compétentes dans d'autres domaines, les compétences respectives du Tribunal de première instance et du Tribunal de prud'hommes sont délimitées exclusivement par le droit cantonal, alors même que celui-ci incorpore une définition appartenant au droit fédéral; en conséquence, une décision relative à la compétence, telle que celle présentement litigieuse, ne peut pas contrevenir à ce droit-ci ( ATF 128 III 76 consid. 1a p. 80; 125 III 461 consid. 2 p. 463; 115 II 237 consid. 1c p. 241); en particulier, elle ne peut pas non plus contrevenir à l' art. 18 CO .</w:t>
      </w:r>
    </w:p>
    <w:p>
      <w:r>
        <w:rPr>
          <w:b/>
        </w:rPr>
        <w:t>E. 4</w:t>
      </w:r>
    </w:p>
    <w:p>
      <w:r>
        <w:t>La demanderesse invoque l' art. 9 Cst. pour se plaindre d'une constatation arbitraire des faits déterminants et d'une appréciation arbitraire des faits constatés.</w:t>
      </w:r>
    </w:p>
    <w:p>
      <w:r>
        <w:rPr>
          <w:b/>
        </w:rPr>
        <w:t>E. 4.1</w:t>
      </w:r>
    </w:p>
    <w:p>
      <w:r>
        <w:t>Une décision est arbitraire, donc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135 V 2 consid. 1.3 p. 4/5; 134 I 140 consid. 5.4 p. 148; 133 I 149 consid. 3.1 p. 153). En matière d'appréciation des preuves et de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129 I 8 consid. 2.1; voir aussi ATF 134 V 53 consid. 4.3 p. 62).</w:t>
      </w:r>
    </w:p>
    <w:p>
      <w:r>
        <w:rPr>
          <w:b/>
        </w:rPr>
        <w:t>E. 4.2</w:t>
      </w:r>
    </w:p>
    <w:p>
      <w:r>
        <w:t>La demanderesse isole divers passages de la décision attaquée et, sur chacun de ces points, elle entreprend de développer sa propre opinion pour l'opposer à celle de la Cour de justice. Ainsi, elle conteste que les rapports du défendeur avec elle-même, d'une part, et avec X.________ SA, d'autre part, soient difficiles à démêler; elle conteste aussi que le défendeur soit demeuré, à l'égard du groupe et après la conclusion du contrat de partenariat, dans un rapport de subordination caractéristique du contrat de travail. Cette discussion est inapte à mettre en évidence une erreur certaine dans la décision attaquée, de sorte que le Tribunal fédéral n'entre pas en matière; en effet, selon la jurisprudence relative aux recours formés pour violation de droits constitutionnels ( art. 106 al. 2 ou 116 LTF ), celui qui se plaint d'arbitraire doit indiquer de façon précise en quoi la décision qu'il attaque est entachée d'un vice grave et indiscutable, et, à défaut, le grief est irrecevable ( ATF 133 II 249 consid. 1.4.3 p. 254; 133 II 396 consid. 3.2 p. 400).</w:t>
      </w:r>
    </w:p>
    <w:p>
      <w:r>
        <w:rPr>
          <w:b/>
        </w:rPr>
        <w:t>E. 4.3</w:t>
      </w:r>
    </w:p>
    <w:p>
      <w:r>
        <w:t>Pour le surplus, les critiques que la demanderesse développe en rapport avec l' art. 18 CO ne sont pas non plus concluantes au regard de l' art. 9 Cst. D'après la teneur des documents contractuels, telle que rapportée dans la décision attaquée, la Cour de justice peut retenir sans arbitraire que le défendeur n'était pas disposé à travailler pour le groupe X.________ sans bénéficier du contrat de partenariat, et que, inversement, ce groupe n'était pas disposé à lui reconnaître, selon le contrat de partenariat, la qualité et les prérogatives d'un associé s'il ne travaillait pas. La Cour peut donc aussi retenir, sans plus d'arbitraire, au regard de ces volontés manifestées par les parties, que les deux contrats n'en constituaient en réalité qu'un seul, qui était mixte ou composé (cf. ATF 131 III 528 consid. 7.1.1 p. 531). La demanderesse affirme que dans cette relation juridique complexe, le contrat de partenariat doit être jugé prépondérant par rapport au contrat de travail. Toutefois, elle n'a pas contesté la compétence du Tribunal de prud'hommes pour statuer sur la rémunération encore réclamée par le défendeur, et, au contraire, elle a même élevé devant ce tribunal, par une demande reconventionnelle, ses propres prétentions en dommages-intérêts consécutives à l'activité professionnelle exercée par le défendeur après que celui-ci eut quitté le groupe. Elle a donc implicitement admis que les conséquences juridiques de ladite activité relèvent du contrat de travail. Les prétentions tendant au paiement d'une peine conventionnelle sont fondées sur les mêmes faits et elles sont donc connexes. Dans ces conditions, il n'est pas arbitraire d'admettre, comme le fait la Cour de justice, que le Tribunal de prud'hommes est compétent pour l'ensemble des prétentions en cause, à l'exclusion du Tribunal de première instance, alors même que certaines de ces prétentions reposent exclusivement sur le contrat dit de partenariat. Il appartiendra au Tribunal de prud'hommes, dans l'hypothèse où il serait saisi d'une demande additionnelle tendant au paiement de la peine conventionnelle, de rechercher quelle règle ou quel principe juridique doit être appliqué à quelle prétention, conformément à la jurisprudence précitée.</w:t>
      </w:r>
    </w:p>
    <w:p>
      <w:r>
        <w:rPr>
          <w:b/>
        </w:rPr>
        <w:t>E. 5</w:t>
      </w:r>
    </w:p>
    <w:p>
      <w:r>
        <w:t>Le recours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