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4A_453/2007 vom 9. Januar 2008</w:t>
      </w:r>
    </w:p>
    <w:p>
      <w:r>
        <w:t>Bundesgericht, 2008-01-09, DE</w:t>
      </w:r>
    </w:p>
    <w:p>
      <w:r>
        <w:rPr>
          <w:b/>
        </w:rPr>
        <w:t xml:space="preserve">Quelle: </w:t>
      </w:r>
      <w:r>
        <w:t>https://mcp.opencaselaw.ch/entscheid/bger_4A_453_2007</w:t>
      </w:r>
    </w:p>
    <w:p>
      <w:r>
        <w:t>FR: TF 4A_453/2007 du 9 janvier 2008</w:t>
      </w:r>
    </w:p>
    <w:p>
      <w:r>
        <w:t>IT: TF 4A_453/2007 del 9 gennaio 2008</w:t>
      </w:r>
    </w:p>
    <w:p>
      <w:pPr>
        <w:pStyle w:val="Heading2"/>
      </w:pPr>
      <w:r>
        <w:t>Erwägungen</w:t>
      </w:r>
    </w:p>
    <w:p>
      <w:r>
        <w:rPr>
          <w:b/>
        </w:rPr>
        <w:t>E. 1</w:t>
      </w:r>
    </w:p>
    <w:p>
      <w:r>
        <w:t>Der angefochtene Entscheid ist in einer zivilrechtlichen Streitigkeit ( Art. 72 BGG ) über eine Markenrechtssache ergangen, für welche das Bundesrecht ( Art. 58 MSchG ) eine einzige Instanz vorschreibt ( Art. 74 Abs. 2 lit. b und Art. 75 Abs. 2 lit. a BGG ). Die Beschwerdeführerin ist mit ihren Anträgen vor der Vorinstanz unterlegen ( Art. 76 BGG ). Der angefochtene Entscheid schliesst jedoch das Verfahren nicht ab ( Art. 90 BGG ). Es handelt sich um einen Vor- oder Zwischenentscheid, der weder die Zuständigkeit noch den Ausstand betrifft. Gegen einen solchen Entscheid ist nach Art. 93 BGG die Beschwerde zulässig, wenn entweder die Gutheissung der Beschwerde sofort einen Endentscheid herbeiführen könnte und damit ein bedeutender Aufwand an Zeit oder Kosten für ein weitläufiges Beweisverfahren erspart würde ( Art. 93 Abs. 1 lit. b BGG ) oder wenn der angefochtene Entscheid einen nicht wieder gutzumachenden Nachteil bewirken kann ( Art. 93 Abs. 1 lit. a BGG ). Da bei Gutheissung der Beschwerde ein Entscheid über die Klage nicht herbeigeführt werden kann, sind die Voraussetzungen für die Anhandnahme der Beschwerde auch dann nicht gegeben, wenn die angeordnete Beweismassnahme zeitaufwändig und kostspielig ist. Die Beschwerdeführerin beruft sich zu Recht nicht auf die Voraussetzung von Art. 93 Abs. 1 lit. b BGG . Sie behauptet dagegen, die Beschwerde sei gemäss Art. 93 Abs. 1 lit. a BGG zulässig.</w:t>
      </w:r>
    </w:p>
    <w:p>
      <w:r>
        <w:rPr>
          <w:b/>
        </w:rPr>
        <w:t>E. 2</w:t>
      </w:r>
    </w:p>
    <w:p>
      <w:r>
        <w:t>Selbständig eröffnete Vor- oder Zwischenentscheide können nach Art. 93 Abs. 1 lit. a BGG angefochten werden, wenn sie einen nicht wieder gutzumachenden Nachteil bewirken können.</w:t>
      </w:r>
    </w:p>
    <w:p>
      <w:r>
        <w:rPr>
          <w:b/>
        </w:rPr>
        <w:t>E. 2.1</w:t>
      </w:r>
    </w:p>
    <w:p>
      <w:r>
        <w:t>Ein im Sinne von Art. 93 Abs. 1 lit. a BGG nicht wieder gutzumachender Nachteil muss nach der von sämtlichen Abteilungen des Bundesgerichts befolgten Rechtsprechung rechtlicher Natur und somit auch mit einem für die Beschwerde führende Partei günstigen Endentscheid nicht oder nicht vollständig behebbar sein ( BGE 133 III 629 E. 2.3 S. 632; 133 IV 139 E. 4 S. 141; zur Publikation bestimmtes Urteil 1B_84/2007 vom 11. September 2007 E. 4; zur Publikation in BGE 133 V bestimmtes Urteil 9C_352/2007 vom 6. November 2007 E. 2.1; Urteil 4A_85/2007 vom 11. Juni 2007 E. 3.1). Dies entspricht der gesetzgeberischen Absicht, die für die altrechtliche staatsrechtliche Beschwerde geltende Regelung auch für die neuen Beschwerdeverfahren zu übernehmen (vgl. die Botschaft zur Totalrevision der Bundesrechtspflege, BBl 2001, 4333 f. zu Art. 88 Entwurf). Das Bundesgericht bezieht die bisherige konstante Praxis dazu mit ein (Urteil 4A_92/2007 vom 8. Juni 2007 E. 2). Nach der Rechtsprechung zu Art. 87 Abs. 2 OG genügt die blosse Möglichkeit eines nicht wieder gutzumachenden Nachteils rechtlicher Natur ( BGE 126 I 97 E. 1b S. 100). Dabei ist es nicht nötig, dass sich der Nachteil schon im kantonalen Verfahren durch einen günstigen Endentscheid beheben lässt. Es reicht aus, wenn er in einem anschliessenden bundesgerichtlichen Verfahren beseitigt werden kann ( BGE 126 I 97 E. 1b S. 100 f.; 117 Ia 251 E. 1 b S. 254, je mit Hinweis).</w:t>
      </w:r>
    </w:p>
    <w:p>
      <w:r>
        <w:rPr>
          <w:b/>
        </w:rPr>
        <w:t>E. 2.2</w:t>
      </w:r>
    </w:p>
    <w:p>
      <w:r>
        <w:t>Der Beschwerdeführerin kann nicht gefolgt werden, wenn sie eine ausdehnende Interpretation des erforderlichen Nachteils auch auf rein tatsächliche Nachteile wie die Verlängerung oder Verteuerung des Verfahrens befürwortet. Denn grundsätzlich soll sich das Bundesgericht nur einmal mit einem Fall befassen müssen und diesen insgesamt beurteilen können ( BGE 133 III 629 E. 2.1 S. 631 mit Hinweisen). Nur wenn prozessökonomische Gründe eine frühere Befassung zwingend gebieten und mit der Öffnung des Rechtswegs der Trölerei nicht grundsätzlich Vorschub geleistet wird, erscheint ein Zwischenverfahren gerechtfertigt. Sofern die besonderen gesetzlichen Voraussetzungen (sofort möglicher Endentscheid gemäss Art. 93 Abs. 1 lit. b BGG , vorweg zu bereinigende gerichtsorganisatorische Fragen gemäss Art. 92 BGG ) nicht vorliegen, ist daher an der restriktiven Praxis festzuhalten. Es bedarf eines rechtlichen Nachteils, der durch einen günstigen Entscheid in der Sache nicht mehr behoben werden kann.</w:t>
      </w:r>
    </w:p>
    <w:p>
      <w:r>
        <w:rPr>
          <w:b/>
        </w:rPr>
        <w:t>E. 2.3</w:t>
      </w:r>
    </w:p>
    <w:p>
      <w:r>
        <w:t>Der angefochtene Beschluss hat eine Beweismassnahme zum Gegenstand. Es werden zwei demoskopische Gutachten angeordnet, die notorisch kostspielig und regelmässig auch zeitaufwändig sind. Diese Nachteile sind jedoch grundsätzlich rein tatsächlicher Art und daher nur im Rahmen der Voraussetzungen von Art. 93 Abs. 1 lit. b BGG , nicht jedoch nach Art. 93 Abs. 1 lit. a BGG beachtlich. Dass sodann - wie die Beschwerdeführerin vorbringt - mit der Verlängerung des Verfahrens die nach ihrer Ansicht markenverletzenden Produkte der Beschwerdegegnerin auf dem Markt weiterhin vertrieben werden und zu einer Markt- oder Zuordnungsverwirrung führen können, ist nicht als rechtlicher Nachteil im Sinne von Art. 93 Abs. 1 lit. a BGG zu qualifizieren. Denn zur Verhinderung derartiger Nachteile steht das Massnahmeverfahren nach Art. 59 MSchG zur Verfügung. Dass die Beschwerdeführerin in diesem Verfahren mit ihren Anträgen erfolglos blieb, vermag den Rechtsweg gegen Vor- oder Zwischenentscheide im Hauptverfahren nicht zu öffnen. Schliesslich ist auch entgegen der Ansicht der Vorinstanz in ihrer Vernehmlassung nicht davon auszugehen, dass eine allfällige Wiederholung von Umfragen nach allgemeiner Erfahrung schon deshalb ausgeschlossen wäre, weil die früheren Befragungen bei zum Teil gleichen Verkehrskreisen das Resultat beeinflussen könnten. Selbst wenn teilweise dieselben Adressaten ein weiteres Mal befragt werden sollten, ist weder anzunehmen, dass sich diese nach einer gewissen Zeit wesentlich von der Fragestellung beeinflussen lassen, noch ist auszuschliessen, dass sich durch andere Einflüsse ihre Sensibilität gegenüber dem in Frage stehenden Produkt verändert hat. Soweit der Zeitpunkt der Umfrage für das Urteil nicht von erheblicher Bedeutung ist, kann daher nicht angenommen werden, die Beweismassnahme liesse sich im Falle eines für die Beschwerdeführerin günstigen Endentscheides nicht wiederholen und die Beschwerde müsse deshalb behandelt werden, weil sonst der Beweis vereitelt werden könnte.</w:t>
      </w:r>
    </w:p>
    <w:p>
      <w:r>
        <w:rPr>
          <w:b/>
        </w:rPr>
        <w:t>E. 2.4</w:t>
      </w:r>
    </w:p>
    <w:p>
      <w:r>
        <w:t>Einen Nachteil im Sinne von Art. 93 Abs. 1 lit. a BGG erleidet die Beschwerdeführerin durch den angefochtenen Beschluss nicht.</w:t>
      </w:r>
    </w:p>
    <w:p>
      <w:r>
        <w:rPr>
          <w:b/>
        </w:rPr>
        <w:t>E. 3</w:t>
      </w:r>
    </w:p>
    <w:p>
      <w:r>
        <w:t>Auf die Beschwerde kann nicht eingetreten werden. Die Gerichtskosten sind bei diesem Verfahrensausgang der Beschwerdeführerin aufzuerlegen ( Art. 66 Abs. 1 BGG ). Sie hat ausserdem der Beschwerdegegnerin deren Parteikosten für das vorliegende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