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4A_452/2023 vom 31. Oktober 2023</w:t>
      </w:r>
    </w:p>
    <w:p>
      <w:r>
        <w:t>Bundesgericht, 2023-10-31, DE</w:t>
      </w:r>
    </w:p>
    <w:p>
      <w:r>
        <w:rPr>
          <w:b/>
        </w:rPr>
        <w:t xml:space="preserve">Quelle: </w:t>
      </w:r>
      <w:r>
        <w:t>https://mcp.opencaselaw.ch/entscheid/bger_4A_452_2023</w:t>
      </w:r>
    </w:p>
    <w:p>
      <w:r>
        <w:t>FR: TF 4A_452/2023 du 31 octobre 2023</w:t>
      </w:r>
    </w:p>
    <w:p>
      <w:r>
        <w:t>IT: TF 4A_452/2023 del 31 ottobre 2023</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In ihrem Hauptbegehren verlangt die Beschwerdeführerin, die Kündigungen der Mietverträge seien als missbräuchlich aufzuheben.</w:t>
      </w:r>
    </w:p>
    <w:p>
      <w:r>
        <w:t>Die Beschwerdeführerin genügt diesbezüglich den genannten Anforderungen, die an eine Beschwerde in Zivilsachen an das Bundesgericht gestellt werden (Erwägung 2.1 und Erwägung 2.2), im Wesentlichen nicht.</w:t>
      </w:r>
    </w:p>
    <w:p>
      <w:r>
        <w:rPr>
          <w:b/>
        </w:rPr>
        <w:t>E. 3.1</w:t>
      </w:r>
    </w:p>
    <w:p>
      <w:r>
        <w:t>So verfehlt die Beschwerdeführerin die Begründungsanforderungen, indem sie die Kündigungen pauschal als reine Schikanekündigungen qualifiziert, ohne nachvollziehbar darzulegen, inwiefern eine solche verpönte Kündigung vorliegen soll. Ebensowenig erfüllt sie die Begründungsanforderungen, wenn sie den Entscheid der Vorinstanz mehrfach als willkürlich bezeichnet. Sie verkennt, dass Willkür nicht schon dann vorliegt, wenn eine andere Lösung ebenfalls in Betracht zu ziehen oder gar vorzuziehen wäre, sondern bloss, wenn der angefochtene Entscheid offensichtlich unhaltbar ist ( BGE 141 III 564 E. 4.1; 140 III 16 E. 2.1; je mit Hinweisen). Inwiefern dies der Fall sein soll, legt sie nicht dar, zumindest offensichtlich nicht rechtsgenüglich (Erwägung 2.1). Darauf ist nicht einzutreten.</w:t>
      </w:r>
    </w:p>
    <w:p>
      <w:r>
        <w:rPr>
          <w:b/>
        </w:rPr>
        <w:t>E. 3.2</w:t>
      </w:r>
    </w:p>
    <w:p>
      <w:r>
        <w:t>Die Beschwerdeführerin geht für ihre Rechtsrügen mehrfach über die Sachverhaltsfeststellungen der Vorinstanz hinaus, ohne eine rechtsgenügliche Sachverhaltsrüge nach den oben genannten Grundsätzen (Erwägung 2.2) zu erheben. Das ist insbesondere dann der Fall, wenn sie das ihrer Meinung nach tatsächliche Motiv der Kündigung schildert, wenn sie ausführt, warum das Sanierungsprojekt so nicht durchgeführt werden könne oder warum das Projekt nicht behindertengerecht sei, oder wenn sie tatsächliche Umstände aus dem Baubewilligungsverfahren darlegt. Mangels Sachverhaltsfundament braucht auf ihre diesbezüglichen Rechtsrügen nicht weiter eingegangen zu werden.</w:t>
      </w:r>
    </w:p>
    <w:p>
      <w:r>
        <w:rPr>
          <w:b/>
        </w:rPr>
        <w:t>E. 3.3</w:t>
      </w:r>
    </w:p>
    <w:p>
      <w:r>
        <w:t>Sie kritisiert, dass die Vorinstanz das tatsächliche Motiv der Kündigung nicht festgestellt habe. Das ist offensichtlich falsch. Die Vorinstanz ging von einer Sanierungskündigung aus und prüfte ausführlich, ob beim Beschwerdegegner im massgeblichen Zeitpunkt der Kündigung ein ernsthafter Sanierungswille vorgelegen habe. Mit der Erstinstanz bejahte sie einen solchen.</w:t>
      </w:r>
    </w:p>
    <w:p>
      <w:r>
        <w:t>Dagegen wiederholt die Beschwerdeführerin bloss ihre bereits vor der Vorinstanz vorgebrachte Argumentation und behauptet entgegen der Vorinstanz, dass ein solcher Wille im massgeblichen Zeitpunkt nicht vorgelegen habe, weil im Baubewilligungsverfahren keine aktuellen Pläne eingereicht sowie lärmschutz- und behindertengerechte Vorgaben nicht eingehalten worden seien. Sie setzt sich mit diesen Wiederholungen nicht rechtsgenüglich mit den Erwägungen der Vorinstanz auseinander (Erwägung 2.1), die bereits auf diese Vorbringen einging und sie alle verwarf.</w:t>
      </w:r>
    </w:p>
    <w:p>
      <w:r>
        <w:rPr>
          <w:b/>
        </w:rPr>
        <w:t>E. 3.4</w:t>
      </w:r>
    </w:p>
    <w:p>
      <w:r>
        <w:t>Die Beschwerdeführerin sieht ihren Anspruch auf rechtliches Gehör verletzt, weil die Vorinstanz für die rechtlichen Erwägungen betreffend die Voraussetzungen der Gültigkeit der Mietvertragskündigung auf die Ausführungen der ersten Instanz verwiesen habe.</w:t>
      </w:r>
    </w:p>
    <w:p>
      <w:r>
        <w:t>Die Vorinstanz verwies an der beanstandeten Stelle (angefochtenes Urteil E. 3.3 S. 9) vorab auf die rechtlichen Erwägungen der Erstinstanz zur Gültigkeit der Kündigung, und ergänzte diese rechtlichen Ausführungen in der Folge mit eigenen Ausführungen (angefochtenes Urteil E. 3.3 S. 9 - 10). Das ist offensichtlich nicht zu beanstanden, zumal die Beschwerdeführerin nicht ansatzweise darlegt, inwiefern damit ihr Anspruch auf rechtliches Gehör verletzt sein soll.</w:t>
      </w:r>
    </w:p>
    <w:p>
      <w:r>
        <w:rPr>
          <w:b/>
        </w:rPr>
        <w:t>E. 3.5</w:t>
      </w:r>
    </w:p>
    <w:p>
      <w:r>
        <w:t>Die Beschwerdeführerin moniert, sie habe in ihrer Berufungsschrift ins Feld geführt, dass das Bauvorhaben unter anderem nicht realisierbar sei "wegen fehlendem behindertengerechten Bauens". Auf dieses Argument sei die Vorinstanz nicht eingegangen. Auch damit habe die Vorinstanz ihren Anspruch auf rechtliches Gehör verletzt.</w:t>
      </w:r>
    </w:p>
    <w:p>
      <w:r>
        <w:t>Auch hier verkennt die Beschwerdeführerin den angefochtenen Entscheid. Die Vorinstanz ist ausdrücklich auf diesen Einwand eingegangen (angefochtenes Urteil E. 3.4 S. 11 f.). Sie ist lediglich zu einem anderen Schluss als die Beschwerdeführerin gelangt. Der Anspruch auf rechtliches Gehör ist auch hier offensichtlich nicht verletzt.</w:t>
      </w:r>
    </w:p>
    <w:p>
      <w:r>
        <w:rPr>
          <w:b/>
        </w:rPr>
        <w:t>E. 3.6</w:t>
      </w:r>
    </w:p>
    <w:p>
      <w:r>
        <w:t>Es bleibt damit bei der Gültigkeit der Kündigungen.</w:t>
      </w:r>
    </w:p>
    <w:p>
      <w:r>
        <w:rPr>
          <w:b/>
        </w:rPr>
        <w:t>E. 4</w:t>
      </w:r>
    </w:p>
    <w:p>
      <w:r>
        <w:t>In ihrem Eventualbegehren verlangt die Beschwerdeführerin die Erstreckung des Mietverhältnisses. Sie schildert dafür aber in zwei Randziffern ihrer Beschwerdeschrift bloss ihre Meinung und kritisiert den Entscheid der Vorinstanz pauschal, ohne sich rechtsgenüglich mit den vorinstanzlichen Erwägungen auseinanderzusetzen, geschweige denn, eine Bundesrechtsverletzung aufzuzeigen (Erwägung 2.1). Es bleibt damit auch bezüglich der Erstreckung beim Entscheid der Vorinstanz.</w:t>
      </w:r>
    </w:p>
    <w:p>
      <w:r>
        <w:rPr>
          <w:b/>
        </w:rPr>
        <w:t>E. 5</w:t>
      </w:r>
    </w:p>
    <w:p>
      <w:r>
        <w:t>Das Gesuch um Erteilung der aufschiebenden Wirkung wird mit dem Entscheid in der Sache selbst gegenstandslos.</w:t>
      </w:r>
    </w:p>
    <w:p>
      <w:r>
        <w:rPr>
          <w:b/>
        </w:rPr>
        <w:t>E. 6</w:t>
      </w:r>
    </w:p>
    <w:p>
      <w:r>
        <w:t>Die Beschwerde ist abzuweisen, soweit darauf überhaupt eingetreten werden kann. Bei diesem Ausgang des Verfahrens wird die Beschwerdeführerin kosten- und entschädigungspflichtig (Art. 66 Abs. 1 und Art. 68 Abs. 1 und 2 BGG ). Dem Beschwerdegegner, der sich nur zum Gesuch um aufschiebende Wirkung zu äussern hatte, ist eine reduzierte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