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452/2010 vom 22. November 2010</w:t>
      </w:r>
    </w:p>
    <w:p>
      <w:r>
        <w:t>Bundesgericht, 2010-11-22, FR</w:t>
      </w:r>
    </w:p>
    <w:p>
      <w:r>
        <w:rPr>
          <w:b/>
        </w:rPr>
        <w:t xml:space="preserve">Quelle: </w:t>
      </w:r>
      <w:r>
        <w:t>https://mcp.opencaselaw.ch/entscheid/bger_4A_452_2010</w:t>
      </w:r>
    </w:p>
    <w:p>
      <w:r>
        <w:t>FR: TF 4A 452/2010 du 22 novembre 2010</w:t>
      </w:r>
    </w:p>
    <w:p>
      <w:r>
        <w:t>IT: TF 4A 452/2010 del 22 novembre 2010</w:t>
      </w:r>
    </w:p>
    <w:p>
      <w:pPr>
        <w:pStyle w:val="Heading2"/>
      </w:pPr>
      <w:r>
        <w:t>Regeste</w:t>
      </w:r>
    </w:p>
    <w:p>
      <w:r>
        <w:t>bail à loyer; prolongation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n'est pas déterminée par les conclusions prises devant le Tribunal fédéral mais par celles restées litigieuses devant l'autorité précédente ( art. 51 al. 1 let. a LTF ). Dans une contestation portant sur la validité d'une résiliation de bail, cette valeur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111 II 384 consid. 1 p. 386; voir aussi ATF 119 II 147 consid. 1 p. 149). En l'espèce, le minimum de 15'000 fr. ( art. 74 al. 1 let. a LTF ) est donc atteint. La partie recourante a pris part à l'instance précédente et succombé dans ses conclusions ( art. 76 al. 1 LTF ).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Il est constant que les parties sont liées par un contrat de bail à loyer ayant pour objet les locaux occupés par la demanderesse. En l'état de la cause, celle-ci ne conteste plus que le congé à elle signifié le 26 avril 2005 soit valable, ni qu'il dût prendre effet, n'était la prolongation dont la durée est litigieuse, au 31 décembre 2010.</w:t>
      </w:r>
    </w:p>
    <w:p>
      <w:r>
        <w:rPr>
          <w:b/>
        </w:rPr>
        <w:t>E. 3</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136 III 190 consid. 6 p. 195; 135 III 121 consid. 2 p. 123; 125 III 226 consid. 4b p. 230). Quelle que soit leur gravité, les inconvénients d'un changement de locaux ne constituent pas à eux seuls des conséquences pénibles aux termes de l' art. 272 al. 1 CO car ils sont inhérents à la résiliation du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 ATF 105 II 197 consid. 3a p. 198; 102 II 254 p. 255; voir aussi ATF 116 II 446 consid. 3b p. 448). Celui-ci doit aussi avoir entrepris les recherches de locaux de remplacement que l'on pouvait raisonnablement attendre de lui pour remédier aux conséquences du congé, cela déjà lorsqu'il sollicite une première prolongation de son bail ( ATF 110 II 249 consid. 4 p. 254; 116 II 446 consid. 3a p. 448).</w:t>
      </w:r>
    </w:p>
    <w:p>
      <w:r>
        <w:rPr>
          <w:b/>
        </w:rPr>
        <w:t>E. 4</w:t>
      </w:r>
    </w:p>
    <w:p>
      <w:r>
        <w:t>La Chambre d'appel constate que la demanderesse occupe ses locaux actuels depuis près de vingt ans et elle admet d'emblée qu'il est difficile de trouver des locaux de remplacement équivalents dans le centre de Genève. Elle prend cependant en considération que la demanderesse a disposé d'un laps de plus de quatre ans et demi entre le congé et l'expiration du contrat, sans le mettre à profit pour entreprendre des recherches. Elle prend encore en considération que la défenderesse, propriétaire de l'immeuble, est en mesure de commencer à bref délai d'importants travaux destinés à lui procurer un meilleur rendement, comportant la démolition des locaux; elle retient que dans ces conditions, son intérêt est prépondérant sur celui de l'autre partie et elle accorde donc, en définitive, une prolongation qu'elle fixe à six mois. En tant que la demanderesse prétend avoir droit à une prolongation de six ans dont le juge peut, éventuellement, réduire la durée si les circonstances le justifient, son argumentation ne trouve aucun fondement en droit fédéral et elle ne saurait donc être suivie. Par ailleurs, cette partie insiste sur les avantages importants que comportent ses locaux actuels, où elle peut nettoyer et relouer immédiatement ses véhicules, et sur leur emplacement très favorable à proximité des hôtels de la rive droite. Elle souligne que sa cocontractante détient un important parc immobilier à Genève et que celle-ci n'a aucun besoin des locaux pour son propre usage. Elle fait valoir qu'un commerçant peut éventuellement se constituer une clientèle très importante en restant longtemps dans les mêmes locaux, mais la Chambre d'appel n'a pas constaté qu'en l'espèce, une clientèle régulière soit étroitement liée à l'emplacement de l'agence. De toute manière, dans cette discussion, la demanderesse méconnaît que l'intérêt du bailleur à exploiter son bien immobilier de la manière la plus favorable pour lui est en principe prépondérant sur l'intérêt du locataire à conserver ses locaux d'exploitation ( ATF 136 III 190 consid. 5 p. 195). Or, la défenderesse ayant obtenu les autorisations administratives nécessaires à son projet, il est indéniable qu'elle a un intérêt important et actuel à recouvrer la maîtrise des lieux. La demanderesse admet n'avoir pas recherché des locaux de remplacement bien qu'elle eût disposé de plus de quatre ans pour le faire, mais elle minimise la portée de son attitude désinvolte en affirmant qu'elle pouvait compter « de bonne foi » sur l'annulation du congé. Elle mentionne divers exemples de prolongations de longue durée issus de la pratique judiciaire mais elle ne tente aucune comparaison détaillée et concluante avec sa propre situation. Ainsi, nonobstant l'opinion différente développée à l'appui du recours, il n'apparaît pas que la Chambre d'appel ait abusé de son pouvoir d'appréciation et violé le droit fédéral en accordant une prolongation limitée à six mois.</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