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452/2008 vom 6. November 2008</w:t>
      </w:r>
    </w:p>
    <w:p>
      <w:r>
        <w:t>Bundesgericht, 2008-11-06, FR</w:t>
      </w:r>
    </w:p>
    <w:p>
      <w:r>
        <w:rPr>
          <w:b/>
        </w:rPr>
        <w:t xml:space="preserve">Quelle: </w:t>
      </w:r>
      <w:r>
        <w:t>https://mcp.opencaselaw.ch/entscheid/bger_4A_452_2008</w:t>
      </w:r>
    </w:p>
    <w:p>
      <w:r>
        <w:t>FR: TF 4A 452/2008 du 6 novembre 2008</w:t>
      </w:r>
    </w:p>
    <w:p>
      <w:r>
        <w:t>IT: TF 4A 452/2008 del 6 novembre 2008</w:t>
      </w:r>
    </w:p>
    <w:p>
      <w:pPr>
        <w:pStyle w:val="Heading2"/>
      </w:pPr>
      <w:r>
        <w:t>Regeste</w:t>
      </w:r>
    </w:p>
    <w:p>
      <w:r>
        <w:t>mesures provisionnelles; effet suspensif | Propriété intellectuelle, concurrence et cartels</w:t>
      </w:r>
    </w:p>
    <w:p>
      <w:pPr>
        <w:pStyle w:val="Heading2"/>
      </w:pPr>
      <w:r>
        <w:t>Erwägungen</w:t>
      </w:r>
    </w:p>
    <w:p>
      <w:r>
        <w:rPr>
          <w:b/>
        </w:rPr>
        <w:t>E. 1</w:t>
      </w:r>
    </w:p>
    <w:p>
      <w:r>
        <w:t>Le Tribunal fédéral examine d'office et librement la recevabilité des recours qui lui sont soumis ( ATF 134 III 235 consid. 1). La décision attaquée est celle de la Présidente de la Cour civile du 3 octobre 2008 refusant d'accorder l'effet suspensif à l'appel cantonal. Il s'agit d'une décision portant sur des mesures provisionnelles qui peut, selon la valeur litigieuse, faire l'objet d'un recours en matière civile ou d'un recours constitutionnel subsidiaire, mais uniquement pour violation des droits constitutionnels ( art. 98 LTF ). Comme décision incidente de procédure, elle n'est toutefois susceptible de recours que si elle peut causer un préjudice irréparable ( art. 93 al. 1 let. a LTF ). Cette restriction est fondée sur des motifs d'économie de la procédure: en tant que cour suprême, le Tribunal fédéral ne doit en principe connaître qu'une seule fois de la même affaire, à la fin de la procédure, à moins que l'on ne se trouve dans l'un des cas où la loi autorise exceptionnellement, précisément pour des raisons impérieuses, un recours immédiat contre une décision préjudicielle ou incidente ( ATF 134 III 188 consid. 2.2; 133 III 629 consid. 2.1 p. 631). Un préjudice ne peut être qualifié d'irréparable que s'il cause un inconvénient de nature juridique; tel est le cas lorsqu'une décision finale même favorable au recourant ne le ferait pas disparaître entièrement; en revanche, un dommage de pur fait, tel un prolongement de la procédure, n'est pas considéré comme un dommage irréparable de ce point de vue. Il appartient au recourant d'alléguer et d'établir la possibilité que la décision préjudicielle ou incidente lui cause un dommage irréparable, à moins que celui-ci ne fasse d'emblée aucun doute ( ATF 134 III 188 consid. 2.1 p. 190; 133 III 629 consid. 2.3.1). La recourante se limite à affirmer que la décision incidente lui cause un préjudice irréparable, sans la moindre tentative de démonstration de ce que tel serait concrètement le cas en l'espèce. Or, un tel préjudice n'est de loin pas évident. A supposer que l'interdiction obtenue par les intimées se révèle ultérieurement infondée, la recourante pourra reprendre l'activité interdite et demander à celles-ci, dont la solvabilité n'est même pas contestée, des dommages-intérêts pour les pertes subies ensuite de l'interdiction (cf. art. 38 al. 3 LDes , art. 14 LCD et art. 28f CC ). Il résulte de ce qui précède que le recours doit être déclaré irrecevable. Dès lors, la requête d'effet suspensif est sans objet.</w:t>
      </w:r>
    </w:p>
    <w:p>
      <w:r>
        <w:rPr>
          <w:b/>
        </w:rPr>
        <w:t>E. 2</w:t>
      </w:r>
    </w:p>
    <w:p>
      <w:r>
        <w:t>Compte tenu de l'issue du litige, les frais judiciaires et dépens sont mis à la charge de la recourante, qui succombe (art. 66 al.1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