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451/2009 vom 25. Februar 2010</w:t>
      </w:r>
    </w:p>
    <w:p>
      <w:r>
        <w:t>Bundesgericht, 2010-02-25, FR</w:t>
      </w:r>
    </w:p>
    <w:p>
      <w:r>
        <w:rPr>
          <w:b/>
        </w:rPr>
        <w:t xml:space="preserve">Quelle: </w:t>
      </w:r>
      <w:r>
        <w:t>https://mcp.opencaselaw.ch/entscheid/bger_4A_451_2009</w:t>
      </w:r>
    </w:p>
    <w:p>
      <w:r>
        <w:t>FR: TF 4A 451/2009 du 25 février 2010</w:t>
      </w:r>
    </w:p>
    <w:p>
      <w:r>
        <w:t>IT: TF 4A 451/2009 del 25 febbraio 2010</w:t>
      </w:r>
    </w:p>
    <w:p>
      <w:pPr>
        <w:pStyle w:val="Heading2"/>
      </w:pPr>
      <w:r>
        <w:t>Regeste</w:t>
      </w:r>
    </w:p>
    <w:p>
      <w:r>
        <w:t>responsabilité de la banque | Droit des contrats</w:t>
      </w:r>
    </w:p>
    <w:p>
      <w:pPr>
        <w:pStyle w:val="Heading2"/>
      </w:pPr>
      <w:r>
        <w:t>Erwägungen</w:t>
      </w:r>
    </w:p>
    <w:p>
      <w:r>
        <w:rPr>
          <w:b/>
        </w:rPr>
        <w:t>E. 1.1</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 En procédure civile vaudoise, le jugement rendu par la Cour civile peut faire l'objet d'un recours en nullité cantonal à la Chambre des recours pour violation des règles essentielles de la procédure, notamment pour arbitraire dans l'établissement des faits (art. 444 al. 3 du code de procédure civile [du canton de Vaud] du 14 décembre 1966 [CPC/VD; RSV 270.11]). Ces griefs ne sont dès lors pas recevables dans le cadre d'un recours au Tribunal fédéral dirigé contre le jugement de la Cour civile, faute d'épuisement des voies de recours cantonales (cf. art. 75 al. 1 LTF ). Selon la Chambre des recours, le recours en nullité cantonal a conservé son caractère subsidiaire après l'introduction de la LTF, de sorte qu'il ne permet pas de contester la violation du droit privé fédéral lorsque celle-ci peut être sanctionnée par le Tribunal fédéral saisi d'un recours en matière civile. Cette dernière condition est réalisée, la valeur litigieuse minimale de 30'000 fr. prescrite par la loi ( art. 74 al. 1 let. b LTF ) étant largement atteinte en l'espèce. Par conséquent, le Tribunal fédéral examinera librement les griefs articulés par les recourantes en ce qui concerne l'application des dispositions pertinentes du Code des obligations, telle qu'elle a été faite par la Cour civile.</w:t>
      </w:r>
    </w:p>
    <w:p>
      <w:r>
        <w:rPr>
          <w:b/>
        </w:rPr>
        <w:t>E. 1.2</w:t>
      </w:r>
    </w:p>
    <w:p>
      <w:r>
        <w:t>Les recourants ont pris part à la procédure devant l'autorité précédente et ont un intérêt juridique à l'annulation ou à la modification des décisions attaquées, étant donné qu'ils ont succombé dans leurs conclusions ( art. 76 al. 1 LTF ).</w:t>
      </w:r>
    </w:p>
    <w:p>
      <w:r>
        <w:rPr>
          <w:b/>
        </w:rPr>
        <w:t>E. 1.3</w:t>
      </w:r>
    </w:p>
    <w:p>
      <w:r>
        <w:t>Le recours contre une décision doit être déposé devant le Tribunal fédéral dans les trente jours qui suivent la notification de l'expédition complète ( art. 100 al. 1 LTF ). Cependant, si, comme c'est le cas dans la présente espèce, la décision d'un tribunal cantonal supérieur peut être déférée à une autorité judiciaire cantonale pour une partie seulement des griefs visés aux art. 95 à 98 LTF, le délai de recours commence à courir à compter de la notification de la décision de cette autorité ( art. 100 al. 6 LTF ). En vertu de cette dernière disposition, les recourants étaient en droit d'attaquer, dans les trente jours dès la notification de l'arrêt de la Chambre des recours, aussi bien ledit arrêt que le jugement rendu antérieurement par la Cour civile, ce qu'ils ont fait en temps utile, quoi qu'en dise l'intimée.</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3</w:t>
      </w:r>
    </w:p>
    <w:p>
      <w:r>
        <w:t>Dans un premier moyen, les recourants reprochent à la Cour civile de ne pas avoir admis la responsabilité de l'intimée comme organe de la société, au sens de l' art. 754 al. 1 CO .</w:t>
      </w:r>
    </w:p>
    <w:p>
      <w:r>
        <w:rPr>
          <w:b/>
        </w:rPr>
        <w:t>E. 3.1</w:t>
      </w:r>
    </w:p>
    <w:p>
      <w:r>
        <w:t>Dans ce contexte, les recourants, faisant allusion aux art. 9 Cst. et 154 CPC/VD, font grief au Juge instructeur de la Cour civile d'avoir rejeté leur deuxième requête de réforme, respectivement à la Chambre des recours d'avoir confirmé le rejet, en tant qu'elle visait à établir qu'aucune action en responsabilité n'avait été intentée contre les organes de fait ou de choix de la société; la requête avait pour but d'établir leur qualité pour agir. S'il est possible de faire valoir que la mauvaise application du droit cantonal constitue une violation du droit fédéral, en particulier qu'elle est arbitraire au sens de l' art. 9 Cst. , le Tribunal fédéral n'examine le moyen fondé sur la violation d'un droit constitutionnel que si le grief a été invoqué et motivé de manière précise (cf. art. 42 al. 2 LTF et 106 al. 2 LTF; ATF 134 II 349 consid. 3 p. 351 s.). En l'espèce, force est de constater d'emblée l'irrecevabilité de l'argumentation des recourants, qui ne répond pas aux exigences de motivation applicables en la matière.</w:t>
      </w:r>
    </w:p>
    <w:p>
      <w:r>
        <w:rPr>
          <w:b/>
        </w:rPr>
        <w:t>E. 3.2</w:t>
      </w:r>
    </w:p>
    <w:p>
      <w:r>
        <w:t>Quant au fond, la Cour civile a considéré en substance que, depuis la fin de l'année 1997 jusqu'à la faillite de la société, l'intimée exerçait un contrôle de fait sur celle-ci; l'intimée avait à tout le moins partiellement violé son devoir de surveillance en laissant A.________ à son poste d'administrateur de la société et une faute pouvait également lui être reprochée dans la mesure où elle n'avait pas pris les mesures qui s'imposaient alors qu'elle en avait les moyens; le dommage résultait de la faillite de la société; toutefois, si la violation du devoir de surveillance, la faute et le dommage pouvaient être admis, il n'en allait pas de même du lien de causalité entre les opérations commencées dès 1997 par l'intimée et la perte du capital-actions et du travail du recourant; on relevait à cet égard qu'au moment où l'intimée avait tenté de reprendre, indirectement, la gestion de la société, celle-ci se trouvait déjà en situation de surendettement et l'avis au juge avait été donné; il s'ensuivait que le capital avait déjà été perdu; l'opération tentée n'avait fait que retarder la faillite de la société et tant l'emploi que l'investissement du recourant pouvaient être considérés comme perdus dès 1997; en conclusion, même si les parties avaient la légitimation pour agir, ce qui n'était pas le cas, les conditions d'une action en responsabilité n'étaient pas réunies et les conclusions des recourants devaient être rejetées sur ce point. Dans leur écriture au Tribunal fédéral, les recourants soutiennent d'abord que les faits retenus dans le jugement attaqué démontreraient "à l'évidence que l'intimée était effectivement un organe de la société depuis 1987 au moins"; ils mettent à cet égard en exergue différents éléments - dont le dernier ne découle en réalité pas de l'état de fait de la décision entreprise mais de deux pièces et du procès-verbal de l'audition d'un témoin - qu'ils estiment utiles à leur thèse. De la sorte, ils ne font toutefois que tenter d'opposer, dans une argumentation de type appellatoire, leur propre vision des choses à celle de la cour cantonale, qui a retenu que jusqu'à 1997, l'intimée ne s'était pas intéressée étroitement à la gestion du "groupe A.________" et que les recourants n'avaient pas démontré que le président de la société était "l'homme-lige" de l'intimée. De surcroît, dans la mesure où la critique des recourants revient en réalité à s'en prendre à l'appréciation des preuves par la Cour civile, elle devait en tout état être soulevée dans leur recours cantonal et le grief est irrecevable devant le Tribunal fédéral, faute d'épuisement des voies de recours cantonales. Les recourants reprochent ensuite aux juges cantonaux d'avoir nié l'existence d'un lien de causalité. L'existence d'un lien de causalité naturelle est une question de fait ( ATF 133 III 462 consid. 4.4.2 p. 470). En l'occurrence, les recourants ne font derechef que procéder à leur propre présentation des faits, en se fondant d'ailleurs sur la prémisse - comme précédemment exposé - erronée selon laquelle l'intimée aurait été organe de fait de la société antérieurement à 1997; ce qui vient d'être dit vaut également dans ce contexte.</w:t>
      </w:r>
    </w:p>
    <w:p>
      <w:r>
        <w:rPr>
          <w:b/>
        </w:rPr>
        <w:t>E. 4</w:t>
      </w:r>
    </w:p>
    <w:p>
      <w:r>
        <w:t>Dans un deuxième temps, les recourants, invoquant l' art. 44 CO , estiment que l'intimée aurait commis des fautes concomitantes telles qu'elles conduiraient à la perte de son droit au remboursement des prêts consentis; en résumé, ils sont d'avis que l'intimée aurait violé son devoir d'information et aurait pris un risque inconsidéré en prêtant au recourant les fonds nécessaires à l'acquisition de 10 % supplémentaires du capital-actions de la société, dont elle connaissait très bien la situation financière; en outre, l'intimée aurait continué à accorder de nombreux prêts au recourant, alors que sa situation financière devenait catastrophique, soutenant ainsi les époux alors que leurs seules garanties, outre une hypothèque immobilière et de modestes polices d'assurances, étaient toutes liées à la société, par les revenus du recourant et par le 20 % du capital-actions de celle-ci. De la sorte, les recourants ne font cependant une fois encore que présenter leur propre version des choses, en se fondant sur des éléments de fait qui ne ressortent - à tout le moins partiellement - pas de la décision entreprise, mais correspondent aux faits qu'ils ont vainement tenté d'introduire dans la procédure par le biais de leur deuxième requête de réforme. Or, celle-ci a été rejetée par le Juge instructeur de la Cour civile, décision confirmée par la Chambre des recours, et les recourants ne prétendent ni a fortiori ne démontrent devant le Tribunal fédéral en quoi lesdites autorités auraient ainsi commis arbitraire dans l'application du droit cantonal de procédure. Leur procédé est ainsi irrecevable. Au demeurant, il n'y avait de toute façon pas lieu d'envisager l'application de l' art. 44 CO . En effet, cette disposition permet au juge de réduire ou supprimer les dommages-intérêts lorsque la victime n'a pas pris toutes les mesures commandées par les circonstances pour diminuer son dommage; il ressort toutefois très clairement de son texte qu'elle n'entre en ligne de compte qu'en cas de dommages-intérêts, qu'ils soient délictuels ou contractuels ( art. 99 al. 3 CO ; ATF 131 III 511 consid. 5 p. 528). Or, en l'espèce, l'intimée a demandé l'exécution de prestations contractuelles, à savoir le remboursement de prêts. Cela scelle derechef le sort du grief.</w:t>
      </w:r>
    </w:p>
    <w:p>
      <w:r>
        <w:rPr>
          <w:b/>
        </w:rPr>
        <w:t>E. 5</w:t>
      </w:r>
    </w:p>
    <w:p>
      <w:r>
        <w:t>Dans un moyen subsidiaire, les recourants se plaignent d'une "violation manifeste du principe de l'identité entre la créance au fond et la créance déduite en poursuite"; à cet égard, ils exposent que la créance déduite en poursuite porte intérêts à 10 % l'an alors que la créance au fond ne porte intérêts qu'à 5 % l'an, de sorte que si la cause n'était pas définitivement réglée d'ici au 30 avril 2026, la créance au fond, en capital et intérêts, s'élèverait à 11'500'000 fr., tandis que la créance déduite en poursuite, en capital et intérêts, totaliserait 11'520'000 francs.</w:t>
      </w:r>
    </w:p>
    <w:p>
      <w:r>
        <w:rPr>
          <w:b/>
        </w:rPr>
        <w:t>E. 5.1</w:t>
      </w:r>
    </w:p>
    <w:p>
      <w:r>
        <w:t>La cédule hypothécaire est une créance personnelle garantie par un gage immobilier ( art. 842 CC ).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(cf. arrêt 5A_122/2009 du 2 février 2010, destiné à la publication aux ATF, consid. 3.1; ATF 134 III 71 consid. 3; 119 III 105 consid. 2a). Si la créance causale (capital et intérêts) est supérieure au montant de la créance incorporée dans la cédule (capital, intérêts de trois années échus et intérêts courant - entre la dernière annuité et le jour de la poursuite - cf. art. 818 al. 1 ch. 3 CC ), le créancier peut faire valoir dans la poursuite en réalisation de gage immobilier l'intégralité de la créance cédulaire avec les intérêts de trois années échus, intérêts courants et intérêts moratoires (cf. arrêt 5A_122/2009 du 2 février 2010, destiné à la publication aux ATF, consid. 3.2). Le taux de l'intérêt des trois annuités échues et des intérêts courants est celui fixé dans la convention de fiducie (cf. Jacques, Exécution forcée spéciale des cédules hypothécaires, Blätter für Schuldbetreibung und Konkurs [BlSchK] 2001 p. 201 ss, spéc. p. 215; Zobl, Zur Sicherungs-übereignung von Schuldbriefen, Revue Suisse du Notariat et du Registre foncier [RNRF] 68/1987 p. 281 ss, spéc. p. 290). Si, au contraire, la créance causale (capital et intérêts) résultant du rapport contractuel de base est inférieure au montant de la créance incorporée dans la cédule (capital, intérêts de trois années échus et intérêts courant; cf. art. 818 al. 1 ch. 3 CC ), le créancier ne peut agir dans la poursuite en réalisation de gage immobilier que pour la somme équivalant à ce qui était effectivement dû en capital et intérêts en vertu de la créance causale; si le créancier poursuit pour le montant de la créance (avec intérêts) incorporée dans le titre alors que la créance causale (avec intérêts) est inférieure, le débiteur poursuivi peut opposer l'exception tirée de la convention de fiducie, et exiger la limitation de la somme réclamée au montant de la créance causale (avec intérêts; cf. arrêt 5A_122/2009 du 2 février 2010, destiné à la publication aux ATF, consid. 3.2).</w:t>
      </w:r>
    </w:p>
    <w:p>
      <w:r>
        <w:rPr>
          <w:b/>
        </w:rPr>
        <w:t>E. 5.2</w:t>
      </w:r>
    </w:p>
    <w:p>
      <w:r>
        <w:t>En l'espèce, il y a donc lieu de faire un double calcul - d'une part de la créance causale avec intérêts à tel pour cent, d'autre part de la créance abstraite avec intérêts de trois ans à tel autre pour cent et intérêts courants -, et vérifier si la première est plus ou moins élevée que la seconde. Selon les trois actes de cession successifs des 13 septembre 1993, 29 novembre 1993 et 24 avril 1995, à savoir les conventions de fiducie, la cédule a été remise en garantie des prétentions actuelles et futures de la banque; la cour cantonale a par ailleurs retenu que la créance abstraite portait intérêts au taux maximum prévu dans la cédule, soit 10 %. Dans la poursuite du 1er mai 2000, la créancière a réclamé des intérêts à 10 % dès le 23 mars 1997. Au jour de la poursuite, la créance abstraite était donc de 3'200'000 fr. + 3 x 320'000 fr. (trois années à 10 %), soit au total de 4'160'000 fr. Puisque la créance causale (avec les intérêts conventionnels à un taux moyen d'en tout cas 5 % selon l'expert) garantie est de 5'000'000 fr., la créancière avait droit au montant de la créance abstraite (capital avec trois années d'intérêts à 10 %). Au stade de la mainlevée, le juge qui la prononce ne connaît pas encore le jour de la réquisition de vente, ni le jour de la vente, et n'est donc pas en mesure d'allouer les intérêts courants depuis la dernière échéance précédant la réquisition de vente et jusqu'au jour de la vente (cf. art. 818 al. 1 ch. 3 in fine CC). Le créancier pourra les faire valoir dans sa production à l'état des charges (cf. art. 138 al. 2 ch. 3 LP ; arrêt 5C.266/2005 du 2 février 2006 consid. 3.2). Des intérêts moratoires ( art. 818 al. 1 ch. 2 CC ) sur les intérêts (en l'occurrence de trois annuités, à savoir 960'000 fr.) ne peuvent être alloués que s'ils sont réclamés par une poursuite et à compter de la réquisition de poursuite ( art. 105 al. 1 CO ). Tel n'est pas le cas en l'espèce. En définitive, le moyen des recourants est donc fondé. En conséquence, le recours doit être partiellement admis dans la mesure de sa recevabilité et le chiffre III du dispositif du jugement de la Cour civile du 13 mars 2008 réformé en ce sens que les oppositions formées par les recourants aux commandements de payer notifiés dans la poursuite n° ... de l'Office des poursuites de Lavaux sont définitivement levées à concurrence du montant de 4'160'000 francs.</w:t>
      </w:r>
    </w:p>
    <w:p>
      <w:r>
        <w:rPr>
          <w:b/>
        </w:rPr>
        <w:t>E. 6</w:t>
      </w:r>
    </w:p>
    <w:p>
      <w:r>
        <w:t>Le recours est admis sur un point accessoire. Dans ces circonstances, il se justifie de mettre les frais judiciaires, arrêtés à 25'000 fr., à raison de trois quarts à la charge des recourants, débiteurs solidaires, et d'un quart à celle de l'intimée ( art. 66 al. 1 et 5 LTF ). La même clé de répartition sera appliquée aux dépens, fixés à 30'000 fr., de sorte qu'après compensation, les recourants, débiteurs solidaires, restent devoir à l'intimée une indemnité réduite à 15'000 fr. ( art. 68 al. 1 et 4 LTF ). Pour le surplus, il convient encore d'annuler les chiffres IV et V du dispositif du jugement de la Cour civile du 13 mars 2008 et de renvoyer la cause à ladite autorité pour qu'elle rende le cas échéant une nouvelle décision sur les frais et dépens de la procédure devant elle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