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44/2022 vom 11. Februar 2022</w:t>
      </w:r>
    </w:p>
    <w:p>
      <w:r>
        <w:t>Bundesgericht, 2022-02-11, DE</w:t>
      </w:r>
    </w:p>
    <w:p>
      <w:r>
        <w:rPr>
          <w:b/>
        </w:rPr>
        <w:t xml:space="preserve">Quelle: </w:t>
      </w:r>
      <w:r>
        <w:t>https://mcp.opencaselaw.ch/entscheid/bger_4A_44_2022</w:t>
      </w:r>
    </w:p>
    <w:p>
      <w:r>
        <w:t>FR: TF 4A 44/2022 du 11 février 2022</w:t>
      </w:r>
    </w:p>
    <w:p>
      <w:r>
        <w:t>IT: TF 4A 44/2022 del 11 febbraio 2022</w:t>
      </w:r>
    </w:p>
    <w:p>
      <w:pPr>
        <w:pStyle w:val="Heading2"/>
      </w:pPr>
      <w:r>
        <w:t>Regeste</w:t>
      </w:r>
    </w:p>
    <w:p>
      <w:r>
        <w:t>Werkvertrag; Auftrag, | Vertragsrecht</w:t>
      </w:r>
    </w:p>
    <w:p>
      <w:pPr>
        <w:pStyle w:val="Heading2"/>
      </w:pPr>
      <w:r>
        <w:t>Erwägungen</w:t>
      </w:r>
    </w:p>
    <w:p>
      <w:r>
        <w:rPr>
          <w:b/>
        </w:rPr>
        <w:t>E. 1</w:t>
      </w:r>
    </w:p>
    <w:p>
      <w:r>
        <w:t>Mit Beschluss vom 3. November 2021 wies das Handelsgericht des Kantons Zürich in einem vom Beschwerdeführer gegen die Beschwerdegegnerin angehobenen Forderungsprozess das Gesuch des Beschwerdeführers um Bewilligung der unentgeltlichen Rechtspflege mangels Nachweises der Bedürftigkeit ab und setzte ihm eine einmalige Nachfrist zur Leistung des Kostenvorschusses an. Mit Urteil 4A_580/2021 vom 16. Dezember 2021 trat das Bundesgericht auf eine vom Beschwerdeführer gegen den handelsgerichtlichen Beschluss vom 3. November 2021 erhobene Beschwerde nicht ein. Mit Beschluss vom 10. Januar 2022 trat das Handelsgericht auf die Klage des Beschwerdeführers infolge Nichtleistung des Kostenvorschusses nicht ein und auferlegt ihm die Gerichtskosten. Mit Eingabe vom 27. Januar 2022 erklärte der Beschwerdeführer dem Bundesgericht, gegen den Beschluss des Handelsgerichts des Kantons Zürich vom 10. Januar 2022 Beschwerde zu erheben.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Das Handelsgericht erwog, nachdem der Beschwerdeführer den Kostenvorschuss auch innert der ihm angesetzten Nachfrist nicht geleistet habe, sei androhungsgemäss auf die Klage nicht einzutreten. Daran vermöge auch die neue Eingabe des Beschwerdeführers vom 29. Dezember 2021 nichts zu ändern, in der dieser erneut um Bewilligung der unentgeltlichen Rechtspflege ersuche; vielmehr hätten die Ausführungen im Beschluss vom 3. November 2021 nach wie vor uneingeschränkt Gültigkeit, weshalb sich Weiterungen erübrigten. Der Beschwerdeführer zeigt mit seiner Beschwerdeeingabe vom 27. Januar 2022 nicht auf, inwiefern die Vorinstanz mit dem Entscheid vom 10. Januar 2022 Bundesrecht verletzt hätte. Stattdessen unterbreitet er dem Bundesgericht in frei gehaltenen Ausführungen seine Sicht der Dinge hinsichtlich seiner angeblichen Mittellosigkeit, was im bundesgerichtlichen Verfahren nicht zulässig ist. Zudem erwähnt er losgelöst von den Erwägungen im angefochtenen Entscheid verschiedene Bestimmungen der Zivilprozessordnung (u.a. Art. 98, Art. 101 und Art. 118 f. ZPO) sowie der Bundesverfassung (u.a. Art. 9, Art. 26 und Art. 29 BV ), womit er die gesetzlichen Begründungsanforderungen ebenfalls verfehlt. Auf die Beschwerde ist somit mangels hinreichender Begründung nicht einzutreten ( Art. 108 Abs. 1 lit. b BGG ).</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