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4A_44/2014 vom 17. März 2014</w:t>
      </w:r>
    </w:p>
    <w:p>
      <w:r>
        <w:t>Bundesgericht, 2014-03-17, FR</w:t>
      </w:r>
    </w:p>
    <w:p>
      <w:r>
        <w:rPr>
          <w:b/>
        </w:rPr>
        <w:t xml:space="preserve">Quelle: </w:t>
      </w:r>
      <w:r>
        <w:t>https://mcp.opencaselaw.ch/entscheid/bger_4A_44_2014</w:t>
      </w:r>
    </w:p>
    <w:p>
      <w:r>
        <w:t>FR: TF 4A_44/2014 du 17 mars 2014</w:t>
      </w:r>
    </w:p>
    <w:p>
      <w:r>
        <w:t>IT: TF 4A_44/2014 del 17 marzo 2014</w:t>
      </w:r>
    </w:p>
    <w:p>
      <w:pPr>
        <w:pStyle w:val="Heading2"/>
      </w:pPr>
      <w:r>
        <w:t>Erwägungen</w:t>
      </w:r>
    </w:p>
    <w:p>
      <w:r>
        <w:rPr>
          <w:b/>
        </w:rPr>
        <w:t>E. 1.1</w:t>
      </w:r>
    </w:p>
    <w:p>
      <w:r>
        <w:t>Lorsque - comme c'est le cas en l'espèce - le litige porte sur la validité d'un congé donné par le bailleur, la valeur litigieuse correspond au moins à trois ans de loyer, en raison du délai de protection, dans le cas où le locataire obtient gain de cause, qui est prévu par l' art. 271a al. 1 let . e CO ( ATF 136 III 196 consid. 1.1 p. 197; 111 II 384 consid. 1 p. 386). Il n'est donc pas douteux, à considérer le montant du loyer mensuel, que la valeur litigieuse minimale de 15'000 fr. requise en matière de bail à loyer par l' art. 74 al. 1 let. a LTF est ici atteinte.</w:t>
      </w:r>
    </w:p>
    <w:p>
      <w:r>
        <w:t>Interjeté par la partie qui a succombé dans ses conclusions tendant à faire constater la nullité du congé, de sorte qu'elle a qualité pour recourir ( art. 76 al. 1 LTF ), dirigé contre un arrêt final ( art. 90 LTF ) rendu en matière civile ( art. 72 al. 1 LTF ) par un tribunal supérieur statuant sur recours en dernière instance cantonale ( art. 75 LTF ), le recours est en principe recevable, puisqu'il a été déposé dans le délai ( art. 46 al. 1 let . c, 48 et 100 al. 1 LTF)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t>Dans la partie " en fait " de son mémoire, le recourant demande à la Cour de céans de compléter l'état de fait dressé par la cour cantonale sur divers points, sans toutefois se conformer aux exigences strictes de motivation découlant de l' art. 105 al. 2 LTF . Il n'y a donc pas lieu de s'écarter des constatations contenues dans l'arrêt entrepris.</w:t>
      </w:r>
    </w:p>
    <w:p>
      <w:r>
        <w:rPr>
          <w:b/>
        </w:rPr>
        <w:t>E. 1.4</w:t>
      </w:r>
    </w:p>
    <w:p>
      <w:r>
        <w:t>Le Tribunal fédéral ne peut aller au-delà des conclusions des parties ( art. 107 al. 1 LTF ).</w:t>
      </w:r>
    </w:p>
    <w:p>
      <w:r>
        <w:rPr>
          <w:b/>
        </w:rPr>
        <w:t>E. 2</w:t>
      </w:r>
    </w:p>
    <w:p>
      <w:r>
        <w:t>Le recourant soutient que la cour cantonale a transgressé l' art. 257f al. 3 CO en admettant la validité du congé du 18 février 2011.</w:t>
      </w:r>
    </w:p>
    <w:p>
      <w:r>
        <w:rPr>
          <w:b/>
        </w:rPr>
        <w:t>E. 2.1</w:t>
      </w:r>
    </w:p>
    <w:p>
      <w:r>
        <w:t>Selon l' art. 257f CO , le locataire est tenu d'user de la chose avec le soin nécessaire (al. 1). S'il s'agit d'un immeuble, il est tenu d'avoir,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enfreindre son devoir de diligence ou à manquer d'égards envers les voisins, le bailleur, s'agissant ici d'un bail d'habitation, peut résilier le contrat moyennant un délai de congé minimum de trente jours pour la fin d'un mois (al. 3).</w:t>
      </w:r>
    </w:p>
    <w:p>
      <w:r>
        <w:t>Les excès de bruit et l'irrespect des règles d'utilisation des parties communes constituent, en cas de persistance malgré un avertissement, des motifs typiques de congé pour manque d'égards envers les voisins ( ATF 136 III 65 consid. 2.5 p. 72 et l'arrêt cité). Peu importe d'ailleurs que les excès de bruit soient dus au locataire lui-même ou à des personnes qui occupent son appartement. Il est également sans pertinence que les excès de bruit soient dus à des troubles psychiques dont souffre le locataire et qu'il ne peut pas maîtriser (arrêt 4A_722/2012 du 1er mai 2013 consid. 2.2 et les arrêts cités).</w:t>
      </w:r>
    </w:p>
    <w:p>
      <w:r>
        <w:t>La résiliation, en application de l' art. 257f CO , exige que les perturbations se poursuivent malgré la mise en demeure et qu'elles atteignent un degré de gravité qui rend insupportable la continuation du contrat. Dire si la situation est insupportable au point de justifier la résiliation du bail est une question d'appréciation que le Tribunal fédéral ne revoit qu'avec retenue ( ATF 136 III 65 consid. 2.5 p. 72; 132 III 109 consid. 2 p. 111 s.).</w:t>
      </w:r>
    </w:p>
    <w:p>
      <w:r>
        <w:rPr>
          <w:b/>
        </w:rPr>
        <w:t>E. 2.2</w:t>
      </w:r>
    </w:p>
    <w:p>
      <w:r>
        <w:t>Dans un premier moyen, le recourant soutient que les avertissements (cf. art. 257f al. 3 CO ) qui lui ont été adressés les 16 décembre 2010 et 24 janvier 2011 n'étaient pas suffisamment clairs, qu'il ne pouvait comprendre ce qui lui était reproché et, partant, comment remédier à la situation.</w:t>
      </w:r>
    </w:p>
    <w:p>
      <w:r>
        <w:t>Ce grief apparaît à l'évidence infondé, voire confine à la témérité. L'autorité cantonale retient en effet expressément qu'un premier avertissement écrit a été adressé au locataire le 16 décembre 2010, puis une mise en demeure formelle le 24 janvier 2011. Ce dernier courrier rappelle " une fois de plus " au recourant son obligation de ne pas incommoder le voisinage " par tout bruit susceptible d'être perçu hors de [son] logement ". L'intimée a explicitement informé le locataire qu'à défaut de respecter les règles et usages locatifs, elle se verrait contrainte " de procéder à la résiliation [du] contrat de bail à loyer ". Dans ces conditions, le grief selon lequel l'avertissement préalable serait flou ou imprécis est sans fondement. Le recourant a été dûment mis en face de ses obligations et averti du risque de résiliation; néanmoins, il a persisté dans son attitude. Le moyen ne peut être que rejeté.</w:t>
      </w:r>
    </w:p>
    <w:p>
      <w:r>
        <w:rPr>
          <w:b/>
        </w:rPr>
        <w:t>E. 2.3</w:t>
      </w:r>
    </w:p>
    <w:p>
      <w:r>
        <w:t>Dans un second moyen, le recourant soutient que c'est à tort que la cour cantonale a retenu que les nuisances en question étaient prouvées à satisfaction de droit et qu'elles étaient suffisantes pour justifier une résiliation anticipée du bail. Il relève qu'il était impossible de déterminer de manière certaine dans quel appartement une porte a claqué et un objet est tombé. Selon lui, des objets qui tombent, des portes qui claquent et des disputes verbales doivent être considérés comme des bruits qui font partie de la vie courante. Enfin, il allègue que le fait que seules trois personnes se sont plaintes fréquemment de son comportement démontre que les plaignantes sont à l'affût du moindre bruit dans l'immeuble et qu'elles le lui attribuent systématiquement.</w:t>
      </w:r>
    </w:p>
    <w:p>
      <w:r>
        <w:t>A nouveau, le moyen confine à la témérité. La cour cantonale indique que les témoins auditionnés ont décrit les nuisances sonores provoquées par le recourant, ou par les personnes qu'il avait invitées chez lui. Tous les habitants de l'immeuble qui ont été entendus ont désigné nommément ce dernier, assurant que le bruit provenait bien de son appartement. Quant aux nuisances retenues, il ne s'agit à l'évidence pas de bruits provenant de l'utilisation usuelle d'un appartement dans un immeuble locatif. Par leur intensité (cris, hurlements, bris d'objets également dans le couloir de l'immeuble...), leur répétition, le moment où elles se sont déroulées (à toute heure de la nuit) et leur répercussion (intervention de la police au moins à deux reprises), les perturbations provoquées par le locataire dépassent nettement ce qui peut être toléré entre habitants d'un même immeuble. Bien qu'il s'efforce de les minimiser, le recourant ne conteste pas vraiment ces faits.</w:t>
      </w:r>
    </w:p>
    <w:p>
      <w:r>
        <w:t>Quant à l'argument selon lequel " seules trois personnes " se sont plaintes, pour autant qu'on le comprenne, il tombe d'emblée à faux, la seule pétition envoyée à la bailleresse le 22 décembre 2010 - point de fait non contesté - contenant la signature de pas moins de 14 locataires différents.</w:t>
      </w:r>
    </w:p>
    <w:p>
      <w:r>
        <w:t>Au vu des faits établis - d'une manière qui lie le Tribunal fédéral ( art. 105 al. 1 LTF ) - on ne voit pas que la cour cantonale ait violé le droit fédéral, notamment abusé de son pouvoir d'appréciation, en estimant être</w:t>
      </w:r>
    </w:p>
    <w:p>
      <w:r>
        <w:t>in casu en présence de nuisances caractéristiques d'un manque d'égard envers les voisins permettant la résiliation du bail conformément à l' art. 257f al. 3 CO .</w:t>
      </w:r>
    </w:p>
    <w:p>
      <w:r>
        <w:rPr>
          <w:b/>
        </w:rPr>
        <w:t>E. 3</w:t>
      </w:r>
    </w:p>
    <w:p>
      <w:r>
        <w:t>Il résulte des considérations qui précèdent que le recours, qui confine à la témérité, ne peut qu'être rejeté.</w:t>
      </w:r>
    </w:p>
    <w:p>
      <w:r>
        <w:t>Les frais sont mis à la charge du recourant, qui succombe ( art. 66 al. 1 LTF ). Il n'y a pas lieu d'allouer des dépens, le Tribunal fédéral n'ayant pas invité l'intimée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