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4A_449/2019 vom 16. April 2020</w:t>
      </w:r>
    </w:p>
    <w:p>
      <w:r>
        <w:t>Bundesgericht, 2020-04-16, FR</w:t>
      </w:r>
    </w:p>
    <w:p>
      <w:r>
        <w:rPr>
          <w:b/>
        </w:rPr>
        <w:t xml:space="preserve">Quelle: </w:t>
      </w:r>
      <w:r>
        <w:t>https://mcp.opencaselaw.ch/entscheid/bger_4A_449_2019</w:t>
      </w:r>
    </w:p>
    <w:p>
      <w:r>
        <w:t>FR: TF 4A_449/2019 du 16 avril 2020</w:t>
      </w:r>
    </w:p>
    <w:p>
      <w:r>
        <w:t>IT: TF 4A_449/2019 del 16 aprile 2020</w:t>
      </w:r>
    </w:p>
    <w:p>
      <w:pPr>
        <w:pStyle w:val="Heading2"/>
      </w:pPr>
      <w:r>
        <w:t>Erwägungen</w:t>
      </w:r>
    </w:p>
    <w:p>
      <w:r>
        <w:rPr>
          <w:b/>
        </w:rPr>
        <w:t>E. 1</w:t>
      </w:r>
    </w:p>
    <w:p>
      <w:r>
        <w:t>Interjeté en temps utile (art. 100 al. 1 et 45 al. 1 LTF), contre un arrêt qui lui a été notifié pendant les féries d'été ( art. 46 al. 1 let. b LTF ), par le défendeur qui a succombé dans ses conclusions libératoires devant l'autorité précédente et qui a été rendu sur appel par le tribunal supérieur du canton ( art. 75 LTF ) dans une cause de nature civile ( art. 72 al. 1 LTF ) et pécuniaire, dont la valeur litigieuse est supérieure à 30'000 fr. ( art. 51 al. 1 let. a et al. 4, art. 74 al. 1 let. b LTF ), le présent recours en matière civile est recevable au regard de ces dispositions.</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Il n'est pas contesté, ni contestable que, dans cette affaire de caractère international, les tribunaux genevois sont compétents et que le droit suisse est applicable au présent litige.</w:t>
      </w:r>
    </w:p>
    <w:p>
      <w:r>
        <w:rPr>
          <w:b/>
        </w:rPr>
        <w:t>E. 4</w:t>
      </w:r>
    </w:p>
    <w:p>
      <w:r>
        <w:t>Seule est encore litigieuse devant le Tribunal fédéral la prétention de la banque en paiement de la commission prévue pour la phase 4 du contrat en raison de la violation de la clause d'exclusivité de l'art. 6 du contrat.</w:t>
      </w:r>
    </w:p>
    <w:p>
      <w:r>
        <w:t>On peut se demander si le contrat conclu par les parties et intitulé " Mandat d'assistance dans la vente des sociétés [...] " devait être qualifié de contrat de courtage, comme l'a fait la cour cantonale, et non de contrat mixte, dont il y aurait eu lieu de rechercher le centre de gravité eu égard à la question litigieuse de la rémunération de la banque comme le prescrit l' ATF 144 III 43 consid. 3 (en général, sur la qualification d'un contrat mixte ou composé, cf. ATF 131 III 528 consid. 7.1.1; arrêt 4A_335/2018 du 9 mai 2019 consid. 4). Toutefois, comme les parties admettent toutes deux que le sort du litige dépend de l'interprétation de la clause d'exclusivité du contrat de courtage et de la causalité (ou de la renonciation à celle-ci) entre l'activité du courtier et la conclusion de l'affaire, il n'y a pas lieu d'examiner plus avant cette question.</w:t>
      </w:r>
    </w:p>
    <w:p>
      <w:r>
        <w:rPr>
          <w:b/>
        </w:rPr>
        <w:t>E. 5</w:t>
      </w:r>
    </w:p>
    <w:p>
      <w:r>
        <w:t>Selon l' art. 413 al. 1 CO , le courtier a droit à son salaire dès que l'indication qu'il a donnée ou la négociation qu'il a conduite aboutit à la conclusion du contrat.</w:t>
      </w:r>
    </w:p>
    <w:p>
      <w:r>
        <w:rPr>
          <w:b/>
        </w:rPr>
        <w:t>E. 5.1</w:t>
      </w:r>
    </w:p>
    <w:p>
      <w:r>
        <w:t>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 4A_334/2018 du 20 mars 2019 consid. 4.1.3 et les arrêts cités). En revanche, dans le courtage de négociation, il faut qu'il y ait un lien psychologique entre les efforts du courtier et la décision du tiers de conclure (même arrêt consid. 4.1.2).</w:t>
      </w:r>
    </w:p>
    <w:p>
      <w:r>
        <w:t>La rémunération du courtier au sens de l' art. 413 al. 1 CO a ainsi un caractère aléatoire, puisqu'elle dépend de la conclusion effective de l'affaire visée, sans égard aux efforts que le courtier a déployés et au temps qu'il a consacré à celle-ci ( ATF 138 III 669 consid. 3.1; arrêts 4A_307/2018 du 10 octobre 2018 consid. 4.1; 4A_309/2016 du 31 août 2016 consid. 2.1; 4C.93/2006 du 14 juillet 2006 consid. 2.1; 4C.228/2005 du 25 octobre 2005 consid. 3).</w:t>
      </w:r>
    </w:p>
    <w:p>
      <w:r>
        <w:rPr>
          <w:b/>
        </w:rPr>
        <w:t>E. 5.2</w:t>
      </w:r>
    </w:p>
    <w:p>
      <w:r>
        <w:t>L' art. 413 al. 1 CO est toutefois de droit dispositif ( ATF 131 III 268 consid. 5.1.2 et les références citées; arrêt 4A_307/2018 précité consid. 4.1). Les parties peuvent donc convenir de clauses particulières dans le but d'atténuer le caractère aléatoire de la rémunération du courtier (arrêt 4C.228/2005 précité consid. 3). Selon la jurisprudence, la partie qui entend déroger à la règle de l' art. 413 al. 1 CO doit le faire avec suffisamment de clarté ( ATF 113 II 49 consid. 1b; arrêt 4C.278/2004 du 29 décembre 2004, consid. 2.4.2).</w:t>
      </w:r>
    </w:p>
    <w:p>
      <w:r>
        <w:t>Dans la pratique, au vu des cas tranchés par la jurisprudence et recensés par la doctrine (FRANÇOIS RAYROUX, in Commentaire romand, Code des obligations I, 2e éd. 2012, n° 38 ss ad art. 412 CO ), on rencontre différentes clauses particulières, qui peuvent aussi être combinées entre elles. Ainsi, les parties peuvent convenir:</w:t>
      </w:r>
    </w:p>
    <w:p>
      <w:r>
        <w:t>1) d'une clause de renonciation au rapport de causalité: le mandant renonce au lien de causalité entre l'activité du courtier et la conclusion de l'affaire, ce dernier ayant droit à son salaire alors même que son activité est sans rapport avec la conclusion de l'affaire par le mandant ( ATF 100 II 361 consid. 3c);</w:t>
      </w:r>
    </w:p>
    <w:p>
      <w:r>
        <w:t>2) d'une clause d'exclusivité: le mandant s'oblige à ne pas conclure avec des tiers des contrats de courtage portant sur l'affaire ( ATF 100 II 361 consid. 3a); selon la volonté des parties, la violation de cette clause peut entraîner pour le courtier, soit le droit à des dommages-intérêts (violation de l'obligation contractuelle au sens de l' art. 97 al. 1 CO ), soit le paiement de la commission convenue (même arrêt consid. 4);</w:t>
      </w:r>
    </w:p>
    <w:p>
      <w:r>
        <w:t>3) d'une clause d'exclusivité par laquelle le mandant s'interdit non seulement de recourir à un autre courtier, mais aussi de rechercher ou négocier lui-même ( ATF 100 II 361 consid. 3b);</w:t>
      </w:r>
    </w:p>
    <w:p>
      <w:r>
        <w:t>4) d'une clause de garantie d'une commission (</w:t>
      </w:r>
    </w:p>
    <w:p>
      <w:r>
        <w:t>Provisionsgarantie ) : le mandant garantit au courtier tout ou partie de sa rémunération même si l'affaire est conclue par l'intermédiaire d'un tiers; ou</w:t>
      </w:r>
    </w:p>
    <w:p>
      <w:r>
        <w:t>5) d'une clause de garantie d'une commission réduite même si l'affaire n'aboutit pas ( ATF 131 III 268 consid. 5.1.2; arrêt 4A_309/2016 précité consid. 2.1).</w:t>
      </w:r>
    </w:p>
    <w:p>
      <w:r>
        <w:rPr>
          <w:b/>
        </w:rPr>
        <w:t>E. 5.3.1</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144 III 93 consid. 5.2.2; 140 III 86 consid. 4.1; 125 III 263 consid. 4c; 118 II 365 consid. 1). Déterminer ce qu'un cocontractant savait et voulait au moment de conclure relève des constatations de fait qui lient le Tribunal fédéral conformément à l' art. 105 LTF ( ATF 132 III 268 consid. 2.3.2; 131 III 606 consid. 4.1; 128 III 419 consid. 2.2).</w:t>
      </w:r>
    </w:p>
    <w:p>
      <w:r>
        <w:rPr>
          <w:b/>
        </w:rPr>
        <w:t>E. 5.3.2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133 III 61 consid. 2.2.1; 132 III 268 consid. 2.3.2; 132 III 626 consid. 3.1; 130 III 417 consid. 3.2). Ce principe permet d'imputer à une partie le sens objectif de sa déclaration ou de son comportement, même si celui-ci ne correspond pas à sa volonté intime ( ATF 144 III 93 consid. 5.2.3; 130 III 417 consid. 3.2 et les arrêts cités).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Les circonstances déterminantes sont celles qui ont précédé ou accompagné la manifestation de volonté, à l'exclusion des événements postérieurs ( ATF 144 III 93 consid. 5.2.3; 133 III 61 consid. 2.2.1).</w:t>
      </w:r>
    </w:p>
    <w:p>
      <w:r>
        <w:t>Pour interpréter une clause contractuelle selon le principe de la confiance, il faut partir de son texte. Les expressions et termes choisis par les cocontractants doivent être compris dans leur sens objectif ( ATF 131 III 606 consid. 4.2). Toutefois, le sens d'un texte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133 III 61 consid. 2.2.1 et les arrêts cités). Il faut ainsi analyser la déclaration litigieuse en fonction de la convention des parties conçue dans son ensemble: il y a lieu de tenir compte du contexte de la phrase et de l'ensemble du contrat, ainsi que de son but. L'interprétation doit respecter la logique du contrat (BERNARD CORBOZ, La réception du contrat par le juge: la qualification, l'interprétation et le complètement, in Le contrat dans tous ses états, 2004, p. 275).</w:t>
      </w:r>
    </w:p>
    <w:p>
      <w:r>
        <w:rPr>
          <w:b/>
        </w:rPr>
        <w:t>E. 5.4</w:t>
      </w:r>
    </w:p>
    <w:p>
      <w:r>
        <w:t>Ce n'est que si le juge ne parvient pas à déterminer la volonté des parties, que ce soit par interprétation subjective ou, à défaut, par interprétation objective selon le principe de la confiance, et qu'il constate ainsi que les parties n'ont pas envisagé le problème litigieux qui se pose, ce qui est constitutif d'une véritable lacune de leur convention, qu'il doit rechercher, selon le principe de la bonne foi, ce que les parties auraient prévu si elles avaient songé à ce problème. Il s'agit alors de dégager la volonté hypothétique des parties et donc de compléter leur convention.</w:t>
      </w:r>
    </w:p>
    <w:p>
      <w:r>
        <w:rPr>
          <w:b/>
        </w:rPr>
        <w:t>E. 6</w:t>
      </w:r>
    </w:p>
    <w:p>
      <w:r>
        <w:t>En l'espèce, il y a lieu tout d'abord d'interpréter l'art. 6 du contrat, intitulé " Exclusivité ".</w:t>
      </w:r>
    </w:p>
    <w:p>
      <w:r>
        <w:rPr>
          <w:b/>
        </w:rPr>
        <w:t>E. 6.1.1</w:t>
      </w:r>
    </w:p>
    <w:p>
      <w:r>
        <w:t>La cour cantonale a constaté que le mandant n'a pas informé la banque que le groupe D.________ était intéressé à l'achat de ses sociétés et qu'il a gardé le silence sur le fait qu'il a conclu un nouveau contrat avec un second courtier (E.________), par l'intermédiaire duquel il a vendu ses sociétés au groupe D.________. En effet, il résulte des dates mentionnées que la vente a eu lieu deux jours avant que le mandant ne résilie le contrat avec la banque, raison pour laquelle la cour cantonale a admis une violation de la clause d'exclusivité. Le recourant ne conteste pas ces faits.</w:t>
      </w:r>
    </w:p>
    <w:p>
      <w:r>
        <w:t>En principe, le courtier au bénéfice d'une clause d'exclusivité a le droit de percevoir une commission lorsque son mandant a conclu l'affaire par l'intermédiaire d'un tiers en violation de l'exclusivité qui lui appartenait. La cour cantonale a toutefois estimé ne pas pouvoir déduire cette conséquence de la volonté réelle et commune des parties, ni de leur volonté objective parce que la conséquence de la violation de la clause d'exclusivité n'est pas nécessairement l'obligation de verser la commission prévue et que l'art. 6 ne le précise pas, ce qui l'a amenée à appliquer les art. 97 al. 1 et 98 al. 2 CO.</w:t>
      </w:r>
    </w:p>
    <w:p>
      <w:r>
        <w:rPr>
          <w:b/>
        </w:rPr>
        <w:t>E. 6.1.2</w:t>
      </w:r>
    </w:p>
    <w:p>
      <w:r>
        <w:t>Le recourant soutient toutefois que les conséquences de la violation de la clause d'exclusivité doit être déduite exclusivement de la disposition spéciale du contrat (</w:t>
      </w:r>
    </w:p>
    <w:p>
      <w:r>
        <w:t>lex specialis derogat generali ), et que, puisque cet art. 6 ne prévoit pas cette conséquence, il est exclu de lui imposer de payer une commission de réussite même s'il a violé cette disposition; selon lui, l' art. 97 al. 1 CO ne saurait être invoqué pour pallier les carences juridiques du contrat; il est douteux que les règles générales en matière d'inexécution des contrats puissent s'appliquer, à titre supplétif, si les parties ont fait le choix de déterminer précisément leurs droits et obligations mutuels dans des dispositions spéciales de leur contrat. Le recourant ne voit pas de raison d'allouer au courtier exclusif un montant que, selon la cour cantonale, les dispositions contractuelles spécifiques ne lui permettent pas d'obtenir. Il invoque également que la jurisprudence pose une exigence accrue de clarté pour les clauses d'exclusivité et que les clauses ambiguës doivent être interprétées</w:t>
      </w:r>
    </w:p>
    <w:p>
      <w:r>
        <w:t>contra stipulatorem ; si la banque avait voulu cette conséquence, elle aurait dû le préciser avec clarté dans l'art. 6.</w:t>
      </w:r>
    </w:p>
    <w:p>
      <w:r>
        <w:rPr>
          <w:b/>
        </w:rPr>
        <w:t>E. 6.2</w:t>
      </w:r>
    </w:p>
    <w:p>
      <w:r>
        <w:t>Aucune des parties ne remettant en cause la constatation de fait de la cour cantonale selon laquelle la volonté réelle et commune des parties n'a pas pu être établie ( art. 97 al. 1 LTF , 9 Cst. et 106 al. 2 LTF), le Tribunal fédéral ne peut revoir cette question.</w:t>
      </w:r>
    </w:p>
    <w:p>
      <w:r>
        <w:t>En revanche, le Tribunal fédéral peut librement revoir l'interprétation objective du contrat.</w:t>
      </w:r>
    </w:p>
    <w:p>
      <w:r>
        <w:rPr>
          <w:b/>
        </w:rPr>
        <w:t>E. 6.3</w:t>
      </w:r>
    </w:p>
    <w:p>
      <w:r>
        <w:t>L'interprétation objective selon le principe de la confiance est une question de droit, que le Tribunal fédéral examine librement (cf. consid. 5.3.2 ci-dessus).</w:t>
      </w:r>
    </w:p>
    <w:p>
      <w:r>
        <w:t>Il ressort des faits constatés que les parties ont conclu non seulement une clause de commission de réussite, laquelle est due " si la transaction est menée à bien ", autrement dit si la phase 4 des négociations débouche sur la conclusion d'une transaction, mais aussi une clause d'exclusivité, laquelle interdit au mandant de recourir aux services d'un autre courtier et l'oblige à communiquer à la banque tous les contacts établis, et encore une clause sur les conséquences de la résiliation du contrat sur dite commission.</w:t>
      </w:r>
    </w:p>
    <w:p>
      <w:r>
        <w:t>Il résulte déjà de la conclusion même de l'art. 6 du contrat, intitulé " Exclusivité ", que les parties ont entendu déroger à la règle de l' art. 413 al. 1 CO et donc au caractère aléatoire du contrat de courtage.</w:t>
      </w:r>
    </w:p>
    <w:p>
      <w:r>
        <w:t>Certes, le texte de l'art. 6 ne mentionne pas la conséquence de la violation de l'exclusivité, mais, comme on l'a vu (cf. consid. 5.3.2 ci-dessus), le texte n'est pas à lui seul déterminant.</w:t>
      </w:r>
    </w:p>
    <w:p>
      <w:r>
        <w:t>Le juge devait donc rechercher la conséquence que, de bonne foi, les parties ont voulu attacher à la violation de la clause d'exclusivité, en prenant en considération les autres moyens d'interprétation du contrat que sont l'ensemble des clauses contractuelles (interprétation systématique) et le but poursuivi par les parties (interprétation téléologique). En considérant que la volonté objective des parties quant aux conséquences de la violation de la clause d'exclusivité ne pouvait pas être déterminée, la cour cantonale a appliqué le principe de la confiance de manière erronée.</w:t>
      </w:r>
    </w:p>
    <w:p>
      <w:r>
        <w:t>En effet, il résulte de la systématique et du but du contrat, soit de l'art. 7 al. 3 du contrat relatif à la résiliation du contrat, que les parties ont voulu que la seule indication de conclure fournie par le mandataire ou la négociation et le travail accompli donnent droit à la commission de réussite si cela a contribué à la conclusion du contrat avec un des acheteurs contacté de manière directe ou indirecte dans le cadre du mandat. On en déduit que les parties n'ont pas voulu renoncer à un lien de causalité entre l'activité de la banque et la conclusion de l'affaire, et cela tant en cas de résiliation qu'en cas de violation de l'exclusivité. La formulation " l'indication donnée [...] " prévue par cet art. 7 al. 3 étant très large, alors que le contrat conclu est un contrat de courtage de négociation, il faut admettre que la condition dont elle est assortie doit être comprise de bonne foi comme valant aussi en cas de violation de la clause d'exclusivité pendant le contrat. En l'espèce, cela s'impose d'autant plus que la résiliation est intervenue deux jours après la conclusion de la vente.</w:t>
      </w:r>
    </w:p>
    <w:p>
      <w:r>
        <w:t>On ne peut donc suivre la banque intimée lorsqu'elle soutient que les parties auraient renoncé totalement à tout lien de causalité. On ne peut pas non plus suivre le recourant lorsqu'il fait valoir que le texte de l'art. 6 du contrat ne donne aucun droit à une commission en cas de violation de l'exclusivité, car alors la clause serait vidée de son sens. Enfin, il n'y a pas lieu de recourir à l' art. 97 al. 1 CO appliqué à titre de droit supplétif, comme l'a fait la cour cantonale, s'il est possible de déduire de l'interprétation objective du contrat ce que les parties ont voulu; si la jurisprudence mentionne que la violation de la clause d'exclusivité donne droit soit à des dommages-intérêts, soit au paiement de la commission, c'est sur la base de la volonté des parties que doit se faire ce choix.</w:t>
      </w:r>
    </w:p>
    <w:p>
      <w:r>
        <w:rPr>
          <w:b/>
        </w:rPr>
        <w:t>E. 7</w:t>
      </w:r>
    </w:p>
    <w:p>
      <w:r>
        <w:t>Dès lors que, selon le principe de la confiance, le mandant pouvait et devait comprendre, de bonne foi, qu'en cas de violation de cette clause, la banque aurait droit, comme en cas de résiliation du mandat, à sa commission de réussite si l'indication qu'elle a donnée a contribué à la conclusion de l'affaire avec un des acheteurs contactés de manière directe ou indirecte dans le cadre du mandat, il y a lieu d'examiner désormais si ce rapport de causalité est réalisé en l'espèce.</w:t>
      </w:r>
    </w:p>
    <w:p>
      <w:r>
        <w:rPr>
          <w:b/>
        </w:rPr>
        <w:t>E. 7.1</w:t>
      </w:r>
    </w:p>
    <w:p>
      <w:r>
        <w:t>La cour cantonale, qui a examiné la question du lien de causalité dans le cadre de l'application de l' art. 97 al. 1 CO , a constaté que le mandant a été mis en contact avec le groupe acheteur par un autre courtier. Le nom de cet acheteur figurait sur la liste " Top " fournie par la banque. La banque n'avait pas encore eu de contact direct ou de relations particulières avec l'acheteur.</w:t>
      </w:r>
    </w:p>
    <w:p>
      <w:r>
        <w:rPr>
          <w:b/>
        </w:rPr>
        <w:t>E. 7.2</w:t>
      </w:r>
    </w:p>
    <w:p>
      <w:r>
        <w:t>Il en découle que la condition voulue par les parties, à savoir que la banque courtière ait eu un contact direct ou indirect avec l'acheteur, de sorte que son indication a contribué à la conclusion de l'affaire, n'est pas réalisée en l'espèce. On ne peut suivre la cour cantonale lorsqu'elle considère que si ce contact n'a pas eu lieu, il aurait pu avoir lieu si le mandant avait informé la banque de l'intérêt manifesté par l'acheteur à la suite de la démarche du second courtier; en effet, ce serait faire totalement abstraction de toute causalité, ce que les parties n'ont pas voulu.</w:t>
      </w:r>
    </w:p>
    <w:p>
      <w:r>
        <w:t>Il est établi que le nom de l'acheteur ne figurait pas sur la liste des clients potentiels établie par la banque, clients potentiels dont on ignore d'ailleurs si la banque les a contactés. Le nom de l'acheteur figurait uniquement dans la liste " Top " au xxx</w:t>
      </w:r>
    </w:p>
    <w:p>
      <w:r>
        <w:t>ème rang sur les 103 Entreprises de Services Numériques françaises. Cela ne suffit évidemment pas pour que l'on puisse admettre que la banque ait eu un contact direct ou indirect avec cet acheteur. Dès lors que la banque soutient purement et simplement que les parties ont renoncé à tout lien de causalité, elle n'allègue ni ne tente d'établir un quelconque contact.</w:t>
      </w:r>
    </w:p>
    <w:p>
      <w:r>
        <w:t>Faute de causalité au sens précité, la banque courtière n'a donc pas droit à une commission de réussite. Le recours du mandant doit donc être admis et l'arrêt attaqué réformé en ce sens que la demande de la banque est rejetée.</w:t>
      </w:r>
    </w:p>
    <w:p>
      <w:r>
        <w:rPr>
          <w:b/>
        </w:rPr>
        <w:t>E. 7.3</w:t>
      </w:r>
    </w:p>
    <w:p>
      <w:r>
        <w:t>Il s'ensuit qu'il est superflu d'examiner si l'offre d'un autre acheteur à 5'500'000 fr. aurait pu aboutir, si la banque aurait pu en obtenir un prix supérieur ou même le prix de 9'030'671 euros, si c'est le groupe acheteur qui a fait l'offre ou si c'est le mandant qui l'a faite. De même, dès lors que l'indication donnée aurait suffit, il n'y a pas lieu d'examiner tous les griefs relatifs à la négociation du contrat et aux carences de la banque à cet égard.</w:t>
      </w:r>
    </w:p>
    <w:p>
      <w:r>
        <w:rPr>
          <w:b/>
        </w:rPr>
        <w:t>E. 8</w:t>
      </w:r>
    </w:p>
    <w:p>
      <w:r>
        <w:t>Au vu de ce qui précède, le recours doit être admis, par substitution de motifs. L'arrêt attaqué doit être partiellement annulé, en ce qui concerne la condamnation au paiement du montant de 361'226 euros avec intérêts à 5% l'an dès le 5 février 2016, et il est réformé en ce sens que le chef de conclusions de la demande tendant au paiement d'une commission de 4% sur le prix de vente est rejeté. Les frais et dépens de la procédure fédérale doivent être mis à la charge de la banque intimée (art. 66 al. 1 et 68 al. 1 LTF). La cause est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