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4A_449/2015 vom 16. Dezember 2015</w:t>
      </w:r>
    </w:p>
    <w:p>
      <w:r>
        <w:t>Bundesgericht, 2015-12-16, FR</w:t>
      </w:r>
    </w:p>
    <w:p>
      <w:r>
        <w:rPr>
          <w:b/>
        </w:rPr>
        <w:t xml:space="preserve">Quelle: </w:t>
      </w:r>
      <w:r>
        <w:t>https://mcp.opencaselaw.ch/entscheid/bger_4A_449_2015</w:t>
      </w:r>
    </w:p>
    <w:p>
      <w:r>
        <w:t>FR: TF 4A_449/2015 du 16 décembre 2015</w:t>
      </w:r>
    </w:p>
    <w:p>
      <w:r>
        <w:t>IT: TF 4A_449/2015 del 16 dicembre 2015</w:t>
      </w:r>
    </w:p>
    <w:p>
      <w:pPr>
        <w:pStyle w:val="Heading2"/>
      </w:pPr>
      <w:r>
        <w:t>Erwägungen</w:t>
      </w:r>
    </w:p>
    <w:p>
      <w:r>
        <w:rPr>
          <w:b/>
        </w:rPr>
        <w:t>E. 1.1</w:t>
      </w:r>
    </w:p>
    <w:p>
      <w:r>
        <w:t>Interjeté en temps utile ( art. 100 al. 1 LTF ) par la demanderesse qui a succombé dans toutes ses conclusions ( art. 76 al.1 LTF ), dirigé contre une décision qui déclare irrecevable</w:t>
      </w:r>
    </w:p>
    <w:p>
      <w:r>
        <w:t>(recte: rejette) sa demande du 22 mai 2006 et qui est ainsi finale ( art. 90 LTF ), décision prise sur recours par le tribunal supérieur du canton ( art. 75 LTF ) dans une contestation civile dont la valeur litigieuse est supérieure à 30'000 fr. (art. 72 al. 1 et 74 al. 1 let. b LTF), le recours en matière civile est recevable au regard de ces dispositions.</w:t>
      </w:r>
    </w:p>
    <w:p>
      <w:r>
        <w:rPr>
          <w:b/>
        </w:rPr>
        <w:t>E. 1.2</w:t>
      </w:r>
    </w:p>
    <w:p>
      <w:r>
        <w:t>Le Tribunal fédéral applique d'office le droit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Celles-ci peuvent toujours invoquer de nouveaux moyens de droit matériel, pour autant que l'argumentation juridique nouvelle repose sur les constatations de fait de l'arrêt attaqué ( ATF 130 III 28 consid. 4.4 p. 34; arrêt 4A_28/2007 du 30 mai 2007 consid. 1.3, non publié in ATF 133 III 421 ). Elles ne peuvent par contre s'en prendre qu'à elles-mêmes si elles renoncent à invoquer ou abandonnent un grief ( ATF 140 III 86 consid. 2; arrêt 4A_146/2015 du 19 août 2015 consid. 2).</w:t>
      </w:r>
    </w:p>
    <w:p>
      <w:r>
        <w:t>Le Tribunal fédéral doit conduire son raisonnement juridique sur la base des faits constatés dans la décision attaquée ( art. 105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Invoquant une violation du droit fédéral, singulièrement de l'art. 839 al. 3 aCC (dans sa teneur jusqu'au 31 décembre 2011), la recourante soutient que la cour cantonale a retenu contrairement au droit que les intimés n'avaient pas la qualité pour défendre dans le procès ouvert par demande du 22 mai 2006. Elle fait valoir que l'audience du 6 avril 2006 s'est tenue alors qu'une procédure d'inscription d'hypothèques légales des artisans et entrepreneurs était pendante entre les parties (à l'exclusion de K.________ SA) et que, durant cette audience, un accord a été conclu entre les parties, qui avait pour but la fourniture de sûretés afin d'éviter l'inscription d'hypothèques légales au registre foncier. Cet accord ne mentionnait pas qu'il mettrait fin au procès divisant les parties, ni que le paiement de K.________ SA serait fait sous condition de l'abandon du procès ouvert contre les défendeurs. Sur la base dudit accord, la demanderesse a introduit une demande contre les copropriétaires défendeurs afin de déterminer le montant à hauteur duquel devraient répondre les sûretés. Durant cette instance, les intimés n'ont jamais contesté leur qualité pour défendre, tant en première qu'en deuxième instance, mais se sont au contraire prévalus de moyens fondés sur le droit matériel. A en croire la recourante, tant le texte clair de l'accord conclu le 6 avril 2006 que la réelle et commune intention des parties à cette transaction amènent à la conclusion que celles-ci ont considéré que les intimés avaient la qualité pour défendre dans le procès susrappelé et que K.________ SA n'était pas concernée par cette procédure.</w:t>
      </w:r>
    </w:p>
    <w:p>
      <w:r>
        <w:rPr>
          <w:b/>
        </w:rPr>
        <w:t>E. 3.1</w:t>
      </w:r>
    </w:p>
    <w:p>
      <w:r>
        <w:t>D'après l'art. 839 al. 3, 2e phrase, aCC (en vigueur jusqu'au 31 décembre 2011 et applicable au présent litige en vertu de l' art. 1 al. 1 Tit. Fin. CC ), l'inscription de l'hypothèque des artisans et entrepreneurs ne peut être requise, si le propriétaire fournit des sûretés suffisantes au créancier. On peut relever que l'actuel art. 839 al. 3, 2e phrase, CC reprend exactement la teneur de la norme en force avant le 1er janvier 2012.</w:t>
      </w:r>
    </w:p>
    <w:p>
      <w:r>
        <w:t>Les sûretés tenant lieu, respectivement prenant la place de l'inscription d'une hypothèque légale des entrepreneurs au sens de l'art. 839 al. 3 aCC doivent offrir la même couverture que l'hypothèque elle-même ( ATF 121 III 445 consid. 5a et les arrêts cités).</w:t>
      </w:r>
    </w:p>
    <w:p>
      <w:r>
        <w:t>Les sûretés peuvent en particulier être fournies sous la forme d'une consignation (PAUL-HENRI STEINAUER, Les droits réels, Tome III, 4e éd. 2012, ch. 2885 p. 314). Elles peuvent être apportées durant la procédure tendant à l'inscription, provisoire ou définitive, du gage (STEINAUER, op. cit., ch. 2885b p. 315).</w:t>
      </w:r>
    </w:p>
    <w:p>
      <w:r>
        <w:t>Le juge saisi de l'action en inscription définitive d'une hypothèque légale des entrepreneurs n'examine qu'à titre préjudiciel la créance personnelle de l'entrepreneur en paiement de ses prestations (Schuldsumme), à seule fin de fixer le montant à concurrence duquel l'immeuble doit répondre, autrement dit la somme garantie par le gage (Pfandsumme) (cf. ATF 138 III 132 consid. 4.2.2).</w:t>
      </w:r>
    </w:p>
    <w:p>
      <w:r>
        <w:t>Sauf stipulation complémentaire expresse mettant définitivement fin au litige, l'accord sur la fourniture de sûretés laisse subsister le litige au stade où il se trouvait avant que les sûretés ne soient fournies; l'action qui continue contre les propriétaires est toujours celle qui porte sur le montant du gage ( ATF 110 II 34 consid. 1b).</w:t>
      </w:r>
    </w:p>
    <w:p>
      <w:r>
        <w:rPr>
          <w:b/>
        </w:rPr>
        <w:t>E. 3.2</w:t>
      </w:r>
    </w:p>
    <w:p>
      <w:r>
        <w:t>Il n'est pas contesté que la demanderesse, en vertu de deux contrats d'entreprise qu'elle a conclus le 3 juin 2005 avec K.________ SA (maître de l'ouvrage), a effectué des travaux de plâtrerie et de revêtement de façades sur l'immeuble sis à la route de xxx, à Z.________, dont les intimés sont tous copropriétaires par étages. Arguant de la présence de défauts, le maître de l'ouvrage a versé à la demanderesse des acomptes de 82'000 fr. sur un total de travaux facturés se montant à 183'664 fr.15 et s'est refusé à acquitter le solde de 101'664 fr.15.</w:t>
      </w:r>
    </w:p>
    <w:p>
      <w:r>
        <w:t>La demanderesse a alors requis et obtenu du tribunal compétent, par neuf ordonnances rendues le 17 février 2006, l'inscription provisoire en sa faveur d'hypothèques légales d'entrepreneurs de divers montants sur chacun des neufs lots de PPE en vue de garantir le reliquat de sa prétention, à savoir la somme de 101'664 fr.15.</w:t>
      </w:r>
    </w:p>
    <w:p>
      <w:r>
        <w:t>Lors d'une audience tenue devant le même tribunal le 6 avril 2006, les plaideurs - soit la recourante (entrepreneur) et les intimés (copropriétaires) - se sont entendus pour fournir des sûretés suffisantes au créancier (i. e. l'entrepreneur), afin de faire radier l'inscription des hypothèques légales grevant les lots de PPE.</w:t>
      </w:r>
    </w:p>
    <w:p>
      <w:r>
        <w:t>Selon le mécanisme résultant de l'accord passé le même jour, le maître de l'ouvrage s'engageait à verser dans les dix jours un montant de 30'000 fr. en espèces à la recourante et à consigner au greffe du tribunal le montant de 71'664 fr. 15, représentant le solde des prétentions de l'entrepreneur dont le paiement restait contesté, moyennant quoi la recourante consentait à ce que soient radiées les inscriptions provisoires d'hypothèques légales qu'elle avait obtenues au préjudice des intimés.</w:t>
      </w:r>
    </w:p>
    <w:p>
      <w:r>
        <w:t>Le lendemain 7 avril 2006, K.________ SA a exécuté l'accord en payant l'acompte de 30'000 fr. à la demanderesse et en consignant en justice la somme de 71'664 fr.15. Le maître de l'ouvrage a donc fourni les sûretés destinées à remplacer l'inscription des hypothèques légales.</w:t>
      </w:r>
    </w:p>
    <w:p>
      <w:r>
        <w:t>Prenant acte de l'accord ainsi que des paiements opérés le 7 avril 2006 par K.________ SA, ledit tribunal a ordonné, par décision du 10 avril 2006, la radiation des inscriptions provisoires d'hypothèques légales qui avaient été effectuées le 17 février 2006 au bénéfice de la recourante.</w:t>
      </w:r>
    </w:p>
    <w:p>
      <w:r>
        <w:rPr>
          <w:b/>
        </w:rPr>
        <w:t>E. 3.3</w:t>
      </w:r>
    </w:p>
    <w:p>
      <w:r>
        <w:t>D'après la jurisprudence susrappelée (cf. ATF 110 II 34 consid. 1b), sauf clause contraire, l'accord sur la fourniture de sûretés, passé pour éviter l'inscription d'une hypothèque légale des artisans et entrepreneurs, n'a pas d'effet sur le procès au fond, pour l'ouverture duquel un délai de trois mois a été imparti à la recourante par les ordonnances du 17 février 2006.</w:t>
      </w:r>
    </w:p>
    <w:p>
      <w:r>
        <w:t>Au lieu de se demander si et à concurrence de quel montant l'immeuble doit répondre de la créance en paiement des prestations de l'entrepreneur (détermination de l'étendue de la garantie hypothécaire, cf. ATF 138 III 132 consid. 4.2.2), la contestation a désormais pour objet la question de savoir si et dans quelle mesure les sûretés fournies devront répondre de ladite créance ( ATF 110 II 34 consid. 1b; STEINAUER, op. cit., ch. 2885b p. 315).</w:t>
      </w:r>
    </w:p>
    <w:p>
      <w:r>
        <w:t>Autrement dit, comme l'hypothèque a été remplacée par des sûretés, le litige au fond a trait au principe de l'affectation de ces sûretés à la garantie de la créance de l'entrepreneur contre le maître de l'ouvrage.</w:t>
      </w:r>
    </w:p>
    <w:p>
      <w:r>
        <w:t>En l'espèce, il ne résulte pas de l'accord du 6 avril 2006 qu'il mettait une fin définitive au litige divisant la recourante d'avec les intimés, puisque la somme consignée ne pourra être libérée qu'en vertu d'un accord entre les parties ou d'un jugement.</w:t>
      </w:r>
    </w:p>
    <w:p>
      <w:r>
        <w:t>Partant, le procès ouvert le 22 mai 2006 par la recourante contre les intimés n'a été en rien modifié par la fourniture des sûretés, contrairement à ce qu'a admis la cour cantonale. Les intimés ont toujours la qualité pour défendre à ce litige.</w:t>
      </w:r>
    </w:p>
    <w:p>
      <w:r>
        <w:t>Le recours doit donc être admis; l'arrêt attaqué sera annulé et la cause sera renvoyée à la Cour d'appel pour qu'elle détermine le montant à concurrence duquel les sûretés consignées en justice de 71'664 fr.15 devront répondre du paiement de la créance invoquée par la recourante contre K.________ SA.</w:t>
      </w:r>
    </w:p>
    <w:p>
      <w:r>
        <w:rPr>
          <w:b/>
        </w:rPr>
        <w:t>E. 3.4</w:t>
      </w:r>
    </w:p>
    <w:p>
      <w:r>
        <w:t>Vu la solution adoptée, on peut se dispenser d'examiner les autres griefs de la recourante, fondés sur la violation de son droit d'être entendue, sur la constatation manifestement inexacte des faits et sur la transgression des règles de la procédure civile fédérale afférentes à la répartition des frais.</w:t>
      </w:r>
    </w:p>
    <w:p>
      <w:r>
        <w:rPr>
          <w:b/>
        </w:rPr>
        <w:t>E. 4</w:t>
      </w:r>
    </w:p>
    <w:p>
      <w:r>
        <w:t>Les intimés, qui succombent, paieront solidairement les frais de justice ( art. 66 al. 1 et 5 LTF ) et verseront solidairement à la recourante une indemnité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