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4A_447/2023 vom 22. Oktober 2024</w:t>
      </w:r>
    </w:p>
    <w:p>
      <w:r>
        <w:t>Bundesgericht, 2024-10-22, IT</w:t>
      </w:r>
    </w:p>
    <w:p>
      <w:r>
        <w:rPr>
          <w:b/>
        </w:rPr>
        <w:t xml:space="preserve">Quelle: </w:t>
      </w:r>
      <w:r>
        <w:t>https://mcp.opencaselaw.ch/entscheid/bger_4A_447_2023</w:t>
      </w:r>
    </w:p>
    <w:p>
      <w:r>
        <w:t>FR: TF 4A_447/2023 du 22 octobre 2024</w:t>
      </w:r>
    </w:p>
    <w:p>
      <w:r>
        <w:t>IT: TF 4A_447/2023 del 22 ottobre 2024</w:t>
      </w:r>
    </w:p>
    <w:p>
      <w:pPr>
        <w:pStyle w:val="Heading2"/>
      </w:pPr>
      <w:r>
        <w:t>Erwägungen</w:t>
      </w:r>
    </w:p>
    <w:p>
      <w:r>
        <w:rPr>
          <w:b/>
        </w:rPr>
        <w:t>E. 1</w:t>
      </w:r>
    </w:p>
    <w:p>
      <w:r>
        <w:t>Il ricorso in materia civile è presentato tempestivamente ( art. 46 cpv. 1 lett. b e art. 100 cpv. 1 LTF combinati) da una parte soccombente nella procedura cantonale ( art. 76 cpv. 1 lett. a LTF ) ed è volto contro una sentenza finale ( art. 90 LTF ) emanata su ricorso dall'autorità ticinese di ultima istanza ( art. 75 LTF ) in una causa civile che trae il suo fondamento da un contratto di locazione ( art. 72 cpv. 1 LTF ). Nelle cause di carattere pecuniario concernenti controversie in ambito di diritto della locazione, il ricorso in materia civile è ammissibile se il valore litigioso raggiunge fr. 15'000.-- ( art. 74 cpv. 1 lett. a LTF ). Nulla osta, sotto questo profilo, alla trattazione del gravame, dato il valore di causa di almeno fr. 30'000.-- accertato dalla Corte cantonale.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3</w:t>
      </w:r>
    </w:p>
    <w:p>
      <w:r>
        <w:t>Nella fattispecie le parti discordano sul significato di " Hotel" inserito nella clausola n. 2 relativa all'uso degli spazi locati.</w:t>
      </w:r>
    </w:p>
    <w:p>
      <w:r>
        <w:rPr>
          <w:b/>
        </w:rPr>
        <w:t>E. 3.1</w:t>
      </w:r>
    </w:p>
    <w:p>
      <w:r>
        <w:t>Il contratto non è perfetto se non quando i contraenti abbiano manifestato concordemente la loro reciproca volontà ( art. 1 cpv. 1 CO ). Per giudicare di un contratto, sia per la forma che per il contenuto, si deve indagare quale sia stata la vera e concorde volontà dei contraenti, anziché stare alla denominazione o alle parole inesatte adoperate per errore, o allo scopo di nascondere la vera natura del contratto ( art. 18 cpv. 1 CO ).</w:t>
      </w:r>
    </w:p>
    <w:p>
      <w:r>
        <w:rPr>
          <w:b/>
        </w:rPr>
        <w:t>E. 3.1.1</w:t>
      </w:r>
    </w:p>
    <w:p>
      <w:r>
        <w:t>Nel diritto contrattuale svizzero la questione di sapere se le parti hanno concluso un accordo è sottoposta al principio della priorità della volontà soggettiva sulla volontà oggettiva. Se le parti si sono espresse in modo concorde (</w:t>
      </w:r>
    </w:p>
    <w:p>
      <w:r>
        <w:t>übereinstimmende Willenserklärungen; échange de manifestations de volonté concordantes ), se si sono effettivamente intese e, dunque, se hanno voluto impegnarsi, allora vi è un accordo di fatto (</w:t>
      </w:r>
    </w:p>
    <w:p>
      <w:r>
        <w:t>tatsächlicher Konsens ;</w:t>
      </w:r>
    </w:p>
    <w:p>
      <w:r>
        <w:t>accord de fait ). Se al contrario, pur comprendendosi, non sono riuscite ad accordarsi, cosa di cui erano consapevoli fin dall'inizio, c'è un chiaro dissenso (</w:t>
      </w:r>
    </w:p>
    <w:p>
      <w:r>
        <w:t>offener Dissens ;</w:t>
      </w:r>
    </w:p>
    <w:p>
      <w:r>
        <w:t>désaccord patent ) e il contratto non è concluso. Può altresì accadere che le parti si siano espresse in modo concordante, ma che una o entrambe non abbiano compreso la volontà interna dell'altra, di cui non erano a conoscenza fin dall'inizio. In simile evenienza vi è un dissenso latente (</w:t>
      </w:r>
    </w:p>
    <w:p>
      <w:r>
        <w:t>versteckter Dissens ;</w:t>
      </w:r>
    </w:p>
    <w:p>
      <w:r>
        <w:t>désaccord latent ) e il contratto è concluso nel senso oggettivo che può essere dato alle loro dichiarazioni di volontà secondo il principio dell'affidamento; in tal caso l'accordo è normativo ( DTF 144 III 93 consid. 5.2.1; 123 III 35 consid. 2b).</w:t>
      </w:r>
    </w:p>
    <w:p>
      <w:r>
        <w:rPr>
          <w:b/>
        </w:rPr>
        <w:t>E. 3.1.2</w:t>
      </w:r>
    </w:p>
    <w:p>
      <w:r>
        <w:t>Il giudice deve in un primo momento ricercare la reale e comune volontà delle parti, se del caso sulla base di indizi. Costituiscono indizi in tal senso non solo il tenore delle dichiarazioni di volontà, ma anche il contesto generale, cioè tutte le circostanze che permettono di scoprire la reale volontà delle parti, sia che si tratti di dichiarazioni precedenti alla conclusione del contratto o di fatti posteriori alla stessa, in particolare il comportamento ulteriore delle parti che stabilisce quale era all'epoca la concezione dei contraenti ( DTF 144 III 93 consid. 5.2.2).</w:t>
      </w:r>
    </w:p>
    <w:p>
      <w:r>
        <w:rPr>
          <w:b/>
        </w:rPr>
        <w:t>E. 3.1.3</w:t>
      </w:r>
    </w:p>
    <w:p>
      <w:r>
        <w:t>Se il giudice non riesce a determinare la volontà reale e comune delle parti - per mancanza di prove o perché queste ultime non sono concludenti - o se constata che una parte non ha capito la volontà espressa dall'altra quando è stato concluso il contratto (ciò che non risulta già dal semplice fatto che è allegato nella causa, ma deve risultare dalle prove), egli deve ricorrere all'interpretazione normativa (od oggettiva) e cioè stabilire la volontà oggettiva delle parti, determinando il senso che, secondo le regole della buona fede, ognuna di esse poteva ragionevolmente dare alle dichiarazioni di volontà dell'altra. A tal fine parte dal tenore letterale delle dichiarazioni, che non vanno interpretate in modo isolato, ma valutate considerando il loro significato nell'ambito concreto. Anche quando il testo appare a prima vista chiaro, il giudice non si può accontentare di una semplice interpretazione letterale. Le dichiarazioni delle parti vanno piuttosto interpretate nel modo in cui esse potevano e dovevano essere capite tenendo conto di tutte le circostanze, nonché del loro tenore e rapporto ( DTF 148 III 57 consid. 2.2.1 con rinvii; 138 III 659 consid. 4.2.1). Secondo il principio dell'affidamento, la volontà interna del dichiarante di legarsi non è l'unico fattore decisivo; un obbligo da parte sua può derivare dal suo comportamento, dal quale l'altra parte poteva, in buona fede, dedurre una volontà di vincolarsi. Esso permette così di imputare a una parte il senso oggettivo della sua dichiarazione o del suo comportamento, anche se ciò non corrisponde alla sua volontà interna ( DTF 144 III 93 consid. 5.2.3; 130 III 417 consid. 3.2, pag. 424).</w:t>
      </w:r>
    </w:p>
    <w:p>
      <w:r>
        <w:t>La determinazione della volontà oggettiva delle parti, basata sul principio dell'affidamento, è una questione di diritto, che il Tribunale federale esamina liberamente; per deciderla, tuttavia, è necessario basarsi sul contenuto delle dichiarazioni di volontà e sulle circostanze, che sono questioni di fatto. Le circostanze decisive a tale riguardo sono solo quelle che hanno preceduto o accompagnato la manifestazione di volontà, ma non gli eventi successivi ( DTF 144 III 93 consid. 5.2.3 pag. 99; 133 III 61 consid. 2.2.1 pag. 67).</w:t>
      </w:r>
    </w:p>
    <w:p>
      <w:r>
        <w:rPr>
          <w:b/>
        </w:rPr>
        <w:t>E. 3.2</w:t>
      </w:r>
    </w:p>
    <w:p>
      <w:r>
        <w:t>Secondo la Corte di appello il primo giudice aveva correttamente concluso che il termine " Hotel " inserito nella clausola n. 2 cpv. 2 dei contratti del 1995 si riferiva alla parte alberghiera in proprietà comune e che la riconsegna in uno stato conforme a un albergo di 4 stelle riguardava solo la struttura relativa alla parte alberghiera e di ristorazione comune senza gli appartamenti in proprietà esclusiva. L'asserto dei comproprietari secondo cui a loro non sarebbe mai venuto in mente di considerare quale " Hotel " solo gli spazi riservati alla gestione alberghiera e alla ristorazione, era soggettivo e senza valore probatorio. Quella clausola, poi, stabiliva che il conduttore gestiva nei locali affittati, in cui è incluso il " Sondereigentum ", un " APPART-Hotel ". L'uso nella stessa disposizione di due distinti termini (" APPART-Hotel " e " Hotel ") induceva a concludere che le parti intendessero due cose distinte: da un lato una struttura comprendente pure le abitazioni (" APPART-Hotel "), e dall'altro una comprensiva solo della parte alberghiera e di ristorazione comune (" Hotel ") con conseguenti obblighi diversi in caso di restituzione. Una distinzione, questa, operata anche altrove nel contratto e che non avrebbe avuto senso se la tesi degli appellanti fosse stata corretta. Nemmeno dai verbali delle assemblee generali dei condomini risultava qualcosa di diverso: a prescindere dalla carente motivazione delle censure ( art. 311 CPC ), infatti, gli stralci decontestualizzati ripresi dagli appellanti riportavano solo discussioni o " promesse ", ma non decisioni formali dei comproprietari, e come tali erano inidonei a provare l'esistenza d'un obbligo contrattuale di rifacimento dei loro spazi in uso esclusivo. Per la Corte di appello, altrimenti, le critiche rivolte dagli appellanti al giudizio del primo giudice sulla clausola concernente la decadenza dell'obbligo di pagamento della pigione in caso di mancata manutenzione a un livello consono a un albergo a 4 stelle del proprio appartamento da parte del condomino interessato, non erano sufficientemente motivate. Infine, il Tribunale di appello ha rilevato che un obbligo di ripristino degli appartamenti allo stato minimo per un albergo 4 stelle violerebbe l' art. 256 cpv. 2 CO .</w:t>
      </w:r>
    </w:p>
    <w:p>
      <w:r>
        <w:rPr>
          <w:b/>
        </w:rPr>
        <w:t>E. 3.3</w:t>
      </w:r>
    </w:p>
    <w:p>
      <w:r>
        <w:t>Nella fattispecie il Pretore aggiunto e il Tribunale di appello non hanno accertato una concorde volontà soggettiva delle parti e hanno interpretato il contratto secondo il principio dell'affidamento. Con il loro rimedio i condomini fanno valere l'importanza della LAFE e contestano l'interpretazione oggettiva operata dalla Corte di appello della clausola n. 2 cpv. 2 dei contratti di locazione.</w:t>
      </w:r>
    </w:p>
    <w:p>
      <w:r>
        <w:rPr>
          <w:b/>
        </w:rPr>
        <w:t>E. 3.3.1</w:t>
      </w:r>
    </w:p>
    <w:p>
      <w:r>
        <w:t>I ricorrenti obiettano anzitutto che la validità del contratto ai sensi della LAFE " dovrà essere comunque esaminata in altra sede " e negano che vi sarebbero stati fatti nuovi. Così argomentando, però, essi non criticano il giudizio impugnato, ma si limitano a mere recriminazioni, inammissibili (cfr. sopra, consid. 2.1).</w:t>
      </w:r>
    </w:p>
    <w:p>
      <w:r>
        <w:rPr>
          <w:b/>
        </w:rPr>
        <w:t>E. 3.3.2</w:t>
      </w:r>
    </w:p>
    <w:p>
      <w:r>
        <w:t>Per definire "Hotel" gli insorgenti richiamano la definizione di apparthotel secondo l' art. 10 LAFE e quella di</w:t>
      </w:r>
    </w:p>
    <w:p>
      <w:r>
        <w:t>Wikipedia , e affermano ad es. che dovrebbe distinguersi per un servizio in camera, e che essi avrebbero potuto acquistare un'unità abitativa conformemente alla LAFE solo perché si trattava di un</w:t>
      </w:r>
    </w:p>
    <w:p>
      <w:r>
        <w:t>hotel . A loro parere, poi, il contratto doveva usare i termini "Sondereigentum" e "gesamte Gemeinschaftseigentum" per chiarire che l'" Hotel " era composto di entrambi, e delucidare le limitazioni e gli "indubbi vantaggi, come quello di non avere spese". Sia come sia, l'interpretazione letterale del contratto non lascerebbe dubbi sulla correttezza della loro opinione, a meno di ipotizzare l'esistenza di un</w:t>
      </w:r>
    </w:p>
    <w:p>
      <w:r>
        <w:t>hotel senza camere; il contratto porrebbe a carico del conduttore tutte le spese di ristrutturazioni durante e anche alla fine del contratto. Infine, asseverano, la decadenza dell'obbligo di pagare l'affitto tutelava la conduttrice, senza il ricorso al giudice, in caso di mancata consegna dell'appartamento o di problemi con la LAFE.</w:t>
      </w:r>
    </w:p>
    <w:p>
      <w:r>
        <w:rPr>
          <w:b/>
        </w:rPr>
        <w:t>E. 3.3.2.1</w:t>
      </w:r>
    </w:p>
    <w:p>
      <w:r>
        <w:t>Sull'interpretazione oggettiva della clausola n. 2 del contratto gli argomenti dei ricorrenti non convincono. Intanto, la definizione di</w:t>
      </w:r>
    </w:p>
    <w:p>
      <w:r>
        <w:t>apparthotel secondo l' art. 10 LAFE e quella di</w:t>
      </w:r>
    </w:p>
    <w:p>
      <w:r>
        <w:t>Wikipedia di "hotel" nulla riferiscono sugli obblighi di ripristino al termine della locazione regolata dai contratti firmati tra le parti. Certo, per stabilire la volontà oggettiva delle parti, il giudice parte dal tenore letterale delle loro dichiarazioni. Tuttavia, per tacere che non basta opporre la propria opinione a quella della Corte cantonale per contestare con successo il giudizio impugnato (cfr. sopra, consid. 2), le dichiarazioni delle parti non vanno decifrate in modo isolato, ma valutate considerando il loro significato nell'ambito concreto e interpretate nel modo in cui esse potevano e dovevano essere capite tenendo conto di tutte le circostanze e del loro tenore e rapporto (cfr. sopra, consid. 3.1.3). Orbene, nella fattispecie l'affermazione apodittica, secondo cui in sostanza un</w:t>
      </w:r>
    </w:p>
    <w:p>
      <w:r>
        <w:t>hotel senza camere non esisterebbe, non considera, a torto, il contesto specifico in cui il termine "Hotel" è inserito nei contratti agli atti. "Hotel", infatti, figura in una clausola relativa all'uso degli spazi locati d'un "APPART-Hotel". Nell'art. 2 cpv. 2 dei noti accordi, come rilevato correttamente dai giudici ticinesi, "APPART-Hotel" definisce l'intero complesso con le unità abitative (in proprietà esclusiva), e si differenzia così da "Hotel", che si riferisce, invece, solo agli spazi alberghieri e di ristorazione comune. L'interpretazione del termine "Hotel" operata dalla Corte di appello tiene calcolo sia del contenuto di quella specifica disposizione contrattuale (che impiega due distinte parole: "APPART-Hotel" e "Hotel", per descrivere due elementi diversi della struttura), sia dell'art. 1 degli stessi (secondo cui oggetto della locazione sono il "Sondereigentum" in diritto esclusivo e la parte comune denominata "K.________"), sia del loro art. 6 (che suddivide l'ente locato in "Hotel", ristorante e insieme delle camere), ed è coerente con il loro art. 4.1 riguardante la decadenza (totale o parziale) dell'obbligo di pagare la pigione in caso di impossibilità di locare l'oggetto locato per cause imputabili al condomino/locatore.</w:t>
      </w:r>
    </w:p>
    <w:p>
      <w:r>
        <w:rPr>
          <w:b/>
        </w:rPr>
        <w:t>E. 3.3.2.2</w:t>
      </w:r>
    </w:p>
    <w:p>
      <w:r>
        <w:t>A quest'ultimo riguardo gli insorgenti oppongono che la facoltà contrattuale di sospendere il pagamento della pigione tutelava la conduttrice in caso di problemi con la LAFE o di omessa consegna da parte del proprietario dell'appartamento, senza dover ricorrere al giudice. Simile tesi, però, non è atta a sovvertire il giudizio di inammissibilità emesso dalla Corte di appello: i ricorrenti, infatti, si limitano a proporre una propria interpretazione dell'art. 4.1 dei contratti, senza confrontarsi con la decisione impugnata. Sia come sia, nemmeno davanti al Tribunale federale spiegano perché il rifiuto di pagamento non potesse valere pure in caso di carente manutenzione delle unità abitative da parte del condomino interessato, onde l'inammissibilità del rimedio in quanto carente di motivazione. Infondata, poi, è la tesi secondo cui l'interpretazione d'un contratto richiederebbe spiegazioni e non prove: ogni interpretazione contrattuale, infatti, si basa su circostanze che le parti devono allegare e provare (cfr. sopra, consid. 3.1). Vana è pure la censura secondo cui il contratto avrebbe dovuto indicare chiaramente chi sosteneva le spese di rinnovo del "Sondereigentum" e chi quelle del "gesamte Gemeinschaftseigentum", includendo entrambi un</w:t>
      </w:r>
    </w:p>
    <w:p>
      <w:r>
        <w:t>hotel : in concreto, infatti, l'art. 2 cpv. 2 dei contratti agli atti che, come stabilito dai giudici cantonali, obbliga il conduttore a riconsegnare in uno stato conforme a un albergo di 4 stelle solo la struttura relativa alla parte alberghiera e di ristorazione comune senza gli appartamenti in proprietà esclusiva, risponde proprio a tale quesito.</w:t>
      </w:r>
    </w:p>
    <w:p>
      <w:r>
        <w:t>Per rovesciare il risultato di tale interpretazione non basta asserire che il contratto di apparthotel sarebbe un contratto</w:t>
      </w:r>
    </w:p>
    <w:p>
      <w:r>
        <w:t>sui generis , da interpretare soprattutto in funzione della LAFE. Ci si può chiedere se la critica non sia finanche irricevibile, poiché sorvola del tutto sul giudizio dei giudici ticinesi, per i quali il contratto tra le parti è un contratto di locazione o al limite un contratto misto (cfr. sentenza impugnata, consid. 8 con rimando a sentenza del Tribunale federale 4A_730/2011 del 16 luglio 2012 consid. 4). In ogni caso, i ricorrenti non pretendono che la LAFE preveda di addossare al conduttore le spese di ristrutturazione d'un'unità abitativa alla fine della locazione, né che essa abbia una simile finalità. In simili circostanze la tesi secondo cui il conduttore si assumerebbe tutte le spese di ristrutturazione durante e alla fine del contratto di locazione, cade nel vuoto.</w:t>
      </w:r>
    </w:p>
    <w:p>
      <w:r>
        <w:rPr>
          <w:b/>
        </w:rPr>
        <w:t>E. 3.3.3</w:t>
      </w:r>
    </w:p>
    <w:p>
      <w:r>
        <w:t>I ricorrenti asseriscono di aver potuto acquistare un'unità abitativa conformemente alla LAFE solo perché si trattava d'un</w:t>
      </w:r>
    </w:p>
    <w:p>
      <w:r>
        <w:t>hotel , e di poterla usare poco tempo all'anno e solo di persona. Le citazioni dei verbali assembleari, da loro motivate, dimostrerebbero che i principali interessati non avrebbero avuto dubbi sul contenuto del contratto, che, in base alle dichiarazioni del promotore e come previsto dal contratto, tutte le spese sarebbero state a carico della società di gestione e che la gerenza sarebbe stata costretta a mantenere le proprie promesse.</w:t>
      </w:r>
    </w:p>
    <w:p>
      <w:r>
        <w:t>Ora, nel caso che ci occupa i condomini hanno acquisito un'unità abitativa d'un "apparthotel" e non d'un</w:t>
      </w:r>
    </w:p>
    <w:p>
      <w:r>
        <w:t>hotel , ed erano (o dovevano essere) consci delle condizioni d'uso personale della stessa previste dai contratti da loro firmati e accettati. Le loro censure in proposito sono così inconsistenti. Invano, altrimenti, essi si propongono di completare la fattispecie asserendo che tutte le spese sarebbero state assunte dalla società di gestione, perché essi non dimostrano, con precisi rinvii agli atti della causa, di aver già presentato alle istanze inferiori, rispettando le regole della procedura, i relativi fatti giuridicamente pertinenti e le prove adeguate (cfr. sopra, consid. 2.2).</w:t>
      </w:r>
    </w:p>
    <w:p>
      <w:r>
        <w:rPr>
          <w:b/>
        </w:rPr>
        <w:t>E. 3.3.4</w:t>
      </w:r>
    </w:p>
    <w:p>
      <w:r>
        <w:t>In definitiva, la conclusione della Corte di appello secondo cui la parola "Hotel" inserita nella clausola n. 2 cpv. 2 dei contratti del 1995 concerneva solo la parte alberghiera e di ristorazione comune e che la riconsegna in uno stato conforme a un albergo di 4 stelle riguardava solo la struttura relativa a tali spazi comuni senza gli appartamenti in proprietà esclusiva, resiste alla critica.</w:t>
      </w:r>
    </w:p>
    <w:p>
      <w:r>
        <w:t>In simili condizioni non giova soffermarsi sulle critiche concernenti l'asserita ammissione dell'opponente relativa alle attuali condizioni delle unità abitative e la ricevibilità della loro domanda di giudizio.</w:t>
      </w:r>
    </w:p>
    <w:p>
      <w:r>
        <w:rPr>
          <w:b/>
        </w:rPr>
        <w:t>E. 4</w:t>
      </w:r>
    </w:p>
    <w:p>
      <w:r>
        <w:t>Ne segue che il ricorso, nella misura della sua ammissibilità,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