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4A_447/2019 vom 14. April 2020</w:t>
      </w:r>
    </w:p>
    <w:p>
      <w:r>
        <w:t>Bundesgericht, 2020-04-14, DE</w:t>
      </w:r>
    </w:p>
    <w:p>
      <w:r>
        <w:rPr>
          <w:b/>
        </w:rPr>
        <w:t xml:space="preserve">Quelle: </w:t>
      </w:r>
      <w:r>
        <w:t>https://mcp.opencaselaw.ch/entscheid/bger_4A_447_2019</w:t>
      </w:r>
    </w:p>
    <w:p>
      <w:r>
        <w:t>FR: TF 4A_447/2019 du 14 avril 2020</w:t>
      </w:r>
    </w:p>
    <w:p>
      <w:r>
        <w:t>IT: TF 4A_447/2019 del 14 aprile 2020</w:t>
      </w:r>
    </w:p>
    <w:p>
      <w:pPr>
        <w:pStyle w:val="Heading2"/>
      </w:pPr>
      <w:r>
        <w:t>Erwägungen</w:t>
      </w:r>
    </w:p>
    <w:p>
      <w:r>
        <w:rPr>
          <w:b/>
        </w:rPr>
        <w:t>E. 1</w:t>
      </w:r>
    </w:p>
    <w:p>
      <w:r>
        <w:t>Die Beschwerde richtet sich gegen einen verfahrensabschliessenden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(Art. 42 Abs. 2 und Art. Art. 106 Abs. 2 BGG ) - grundsätzlich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3.1</w:t>
      </w:r>
    </w:p>
    <w:p>
      <w:r>
        <w:t>Nach langen "Vorbemerkungen" sowie einer Darstellung des Sachverhalts aus eigener Sicht rügt die Beschwerdeführerin zunächst eine Verletzung ihres Rechts auf Beweis. Dabei nennt sie zahlreiche Beweisanträge, denen ihres Erachtens zu Unrecht im vorinstanzlichen Verfahren nicht entsprochen worden sei. Es ist fraglich, ob ihre Rüge hinreichend präzise ist, legt sie doch nicht dar, was mit den</w:t>
      </w:r>
    </w:p>
    <w:p>
      <w:r>
        <w:t>einzelnen nicht abgenommenen Beweismitteln bewiesen werden sollte. Immerhin ergibt sich aus ihren Ausführungen an anderen Stellen der Beschwerde, dass sie die Befragung von Zeugen angeboten hat, die Angaben zum "Umfang, Inhalt und Ablauf" der Informationsveranstaltung vom 1. Mai 2013 sowie zur AHV-Problematik hätten machen können. Inwiefern diese Tatsachen für die Frage des Ausschlusses der Beschwerdeführerin (vgl. zur Frage des Ausschlusses der Geschäftsführerin der Beschwerdegegnerin unten, E. 5) relevant sein sollten, ist jedoch nicht ersichtlich. Einen Ausschlussgrund erblickte die Vorinstanz - zu Recht - darin, dass die Beschwerdeführerin bzw. C.________ ohne Wissen der Geschäftsführerin und ohne eigene Geschäftsführungsbefugnisse eine Veranstaltung mit zahlreichen Vertriebspartnern und Mitarbeitenden der Klägerin durchführte. Weder der genaue Inhalt bzw. der Ablauf dieser Veranstaltung noch die Frage, ob bei der Beschwerdegegnerin tatsächlich eine AHV-Problematik bestand, erachtete die Vorinstanz als relevant. Welche entscheidrelevante Tatsachen die Beschwerdeführerin mit der Befragung der von ihr genannten Zeugen beweisen möchte, ist folglich weder dargetan noch ersichtlich.</w:t>
      </w:r>
    </w:p>
    <w:p>
      <w:r>
        <w:rPr>
          <w:b/>
        </w:rPr>
        <w:t>E. 3.2</w:t>
      </w:r>
    </w:p>
    <w:p>
      <w:r>
        <w:t>Auch auf die weitere Rüge der Beschwerdeführerin zur angeblichen Verletzung der Beweislastregel von Art. 8 ZGB kann nicht eingetreten werden. Dabei kritisiert sie die vorinstanzliche Sachverhaltsfeststellung hinsichtlich der am 1. Mai 2003 durchgeführten Informationsveranstaltung sowie der zwischen den Parteien bzw. ihren Organen bestehenden Konfliktsituation. Sie verkennt jedoch, dass die entsprechenden Feststellungen der Vorinstanz das Bundesgericht binden. Inwiefern diese willkürlich sein sollten, legt sie nicht dar. Im Übrigen verkennt sie, dass die von Art. 8 ZGB geregelte Beweislastverteilung gegenstandslos ist, falls ein Gericht in Würdigung der Beweise zum Schluss gelangt, eine Tatsachenbehauptung sei bewiesen oder widerlegt ( BGE 141 III 241 E. 3.2 mit Hinweisen). Eine Verletzung von Art. 8 ZGB fällt in Zusammenhang mit den beiden erwähnten Beweisthemen folglich von vorneherein ausser Betracht.</w:t>
      </w:r>
    </w:p>
    <w:p>
      <w:r>
        <w:rPr>
          <w:b/>
        </w:rPr>
        <w:t>E. 4</w:t>
      </w:r>
    </w:p>
    <w:p>
      <w:r>
        <w:t>In drei Rügen wirft die Beschwerdeführerin im Wesentlichen der Vorinstanz vor, keine eigene Würdigung vorgenommen zu haben.</w:t>
      </w:r>
    </w:p>
    <w:p>
      <w:r>
        <w:rPr>
          <w:b/>
        </w:rPr>
        <w:t>E. 4.1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mit Hinweisen).</w:t>
      </w:r>
    </w:p>
    <w:p>
      <w:r>
        <w:rPr>
          <w:b/>
        </w:rPr>
        <w:t>E. 4.2</w:t>
      </w:r>
    </w:p>
    <w:p>
      <w:r>
        <w:t>In seinem Entscheid vom 17. Juli 2018 wies das Bundesgericht die Sache an das Obergericht zur Beurteilung der Einmischung der Beschwerdeführerin in die operative Tätigkeit der Beschwerdegegnerin sowie der zwischen den Parteien bzw. deren Organen bestehenden Konfliktsituation vor dem Hintergrund der personalistischen Ausgestaltung der Beschwerdegegnerin zurück. Dabei stellte es einerseits die Zulässigkeit der Durchführung der Informationsveranstaltung vom 1. Mai 2013 durch C.________ ohne Wissen der Geschäftsführerin und Mehrheitsgesellschafterin - der Beschwerdegegnerin D.________ - in Frage (vgl. E. 4.3.5.1 des Rückweisungsentscheides). Andererseits erwog es, aufgrund des schweren Zerwürfnisses zwischen den Parteien bzw. deren Organen sei fraglich, ob vom Standpunkt der Gesellschaft aus betrachtet, die Fortdauer der Mitgliedschaft der Beschwerdeführerin zumutbar sei (4.3.5.2 des Rückweisungsentscheides). Infolge des Rückweisungsentscheides prüfte das Obergericht diese beiden Punkte. Es kam zum Schluss, dass die Beschwerdeführerin mit der Durchführung der Veranstaltung vom 1. Mai 2013 ihre Treuepflicht als nicht geschäftsführende Gesellschafterin in schwerwiegender Weise verletzt habe, und dass die zwischen den Parteien bestehende Konfliktsituation einen wichtigen Grund darstelle, der nach Art. 823 OR den Ausschluss der Beschwerdeführerin als Gesellschafterin der Beschwerdegegnerin rechtfertige.</w:t>
      </w:r>
    </w:p>
    <w:p>
      <w:r>
        <w:t>Entgegen der Ansicht der Beschwerdeführerin sind die vorinstanzlichen Ausführungen nicht zu beanstanden. Dass es sich bei der Durchführung der Informationsveranstaltung vom 1. Mai 2013 um eine Einmischung in die operative Tätigkeit der Beschwerdegegnerin handelte, darf die Beschwerdeführerin nicht mehr bestreiten, wurde dies doch vom Bundesgericht in seinem Rückweisungsentscheid ausdrücklich bejaht. Nichts anderes gilt in Bezug auf die Annahme einer Konfliktsituation zwischen den Parteien bzw. deren Organen. Wegen der Bindung des Bundesgerichts an den Rückweisungsentscheid vom 17. Juli 2018 darf die Beschwerdeführerin das Vorliegen eines schweren Zerwürfnisses nicht in Frage stellen, wurde doch ein solches vom Bundesgericht bereits ausdrücklich bejaht. Sowohl in Zusammenhang mit der Informationsveranstaltung wie auch mit der Konfliktsituation rügt die Beschwerdeführerin im Übrigen eine willkürliche Sachverhaltsfeststellung, ohne jedoch konkret aufzuzeigen, weshalb der angefochtene Entscheid offensichtlich unrichtig sein sollte. Ihre Rügen erschöpfen sich vielmehr in einer unzulässigen appellatorischen Kritik.</w:t>
      </w:r>
    </w:p>
    <w:p>
      <w:r>
        <w:rPr>
          <w:b/>
        </w:rPr>
        <w:t>E. 5</w:t>
      </w:r>
    </w:p>
    <w:p>
      <w:r>
        <w:t>Zuletzt kritisiert die Beschwerdeführerin die vorinstanzlichen Ausführungen in Bezug auf die Frage der Verantwortlichkeit für die Unzumutbarkeit der Fortdauer der gesellschaftsrechtlichen Beziehung. Sie meint mit Verweis auf ein Urteil des deutschen Bundesgerichtshofes, dass ein Gesellschafter nicht zum Ausschluss eines anderen Gesellschafters berechtigt sei, wenn er nach der Sachlage ebenfalls ausgeschlossen werden könnte. Vorliegend ist aus dem angefochtenen Entscheid jedoch nicht ersichtlich, weshalb die Geschäftsführerin der Beschwerdegegnerin als Gesellschafterin hätte ausgeschlossen werden können. Die Beschwerdeführerin stellt sich im Wesentlichen auf den Standpunkt, D.________ sei insbesondere für die (schwerwiegende) AHV-Problematik verantwortlich, was ihren Ausschluss rechtfertige. Auf diese Erläuterungen kann nicht eingetreten werden, legt die Beschwerdeführerin doch einmal mehr nicht rechtsgenügend dar, weshalb die vorinstanzliche Sachverhaltsfeststellung willkürlich sein soll. Ihr Hinweis auf die von ihr im vorinstanzlichen Verfahren gestellten und nicht entsprochenen Beweisanträge genügt dabei nicht. Dass die Vorinstanz - gegebenenfalls in antizipierter Würdigung der offerierten Beweise - den Sachverhalt willkürlich feststellte, wird nicht dargetan. Die Rüge geht fehl.</w:t>
      </w:r>
    </w:p>
    <w:p>
      <w:r>
        <w:rPr>
          <w:b/>
        </w:rPr>
        <w:t>E. 6</w:t>
      </w:r>
    </w:p>
    <w:p>
      <w:r>
        <w:t>Die Beschwerde ist abzuweisen, soweit darauf eingetreten werden kann. Bei diesem Verfahrensausgang sind die Gerichtskosten der Beschwerdeführerin zu auferlegen ( Art. 66 Abs. 1 BGG ). Der Beschwerdegegnerin wird für das bundesgerichtliche Verfahren eine Parteientschädigung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