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447/2012 vom 17. Mai 2013</w:t>
      </w:r>
    </w:p>
    <w:p>
      <w:r>
        <w:t>Bundesgericht, 2013-05-17, FR</w:t>
      </w:r>
    </w:p>
    <w:p>
      <w:r>
        <w:rPr>
          <w:b/>
        </w:rPr>
        <w:t xml:space="preserve">Quelle: </w:t>
      </w:r>
      <w:r>
        <w:t>https://mcp.opencaselaw.ch/entscheid/bger_4A_447_2012</w:t>
      </w:r>
    </w:p>
    <w:p>
      <w:r>
        <w:t>FR: TF 4A 447/2012 du 17 mai 2013</w:t>
      </w:r>
    </w:p>
    <w:p>
      <w:r>
        <w:t>IT: TF 4A 447/2012 del 17 maggio 2013</w:t>
      </w:r>
    </w:p>
    <w:p>
      <w:pPr>
        <w:pStyle w:val="Heading2"/>
      </w:pPr>
      <w:r>
        <w:t>Regeste</w:t>
      </w:r>
    </w:p>
    <w:p>
      <w:r>
        <w:t>prétentions fondées sur le contrat de travail | Droit des contrats</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136 II 489 consid. 2.8 p. 494; 130 I 258 consid. 1.3 p. 261/262).</w:t>
      </w:r>
    </w:p>
    <w:p>
      <w:r>
        <w:rPr>
          <w:b/>
        </w:rPr>
        <w:t>E. 2</w:t>
      </w:r>
    </w:p>
    <w:p>
      <w:r>
        <w:t>Il est constant que les parties se sont liées par un contrat de travail et que la défenderesse s'est obligée à verser le salaire convenu, conformément à l' art. 322 al. 1 CO .</w:t>
      </w:r>
    </w:p>
    <w:p>
      <w:r>
        <w:rPr>
          <w:b/>
        </w:rPr>
        <w:t>E. 2.1</w:t>
      </w:r>
    </w:p>
    <w:p>
      <w:r>
        <w:t>La contestation porte notamment sur le montant du salaire des années 2008 et 2009. La Cour de justice retient que la défenderesse devait et a effectivement payé la rémunération annuelle fixe prévue par le contrat principal des parties. Le demandeur soutient que sa cocontractante devait non seulement ce salaire fixe mais aussi un salaire variable dépendant des profits engendrés par son activité. Pour 2008, il évalue ce salaire variable à 1'134'000 fr. d'après la « prime discrétionnaire de motivation » obtenue pour sa performance de l'année précédente; pour 2009, il prétend au même montant prorata temporis pour les mois de janvier à mars, soit 283'500 francs.</w:t>
      </w:r>
    </w:p>
    <w:p>
      <w:r>
        <w:rPr>
          <w:b/>
        </w:rPr>
        <w:t>E. 2.2</w:t>
      </w:r>
    </w:p>
    <w:p>
      <w:r>
        <w:t>Dans le contrat de travail, des règles différentes s'appliquent au salaire, d'une part, et à une éventuelle gratification d'autre part. Le salaire régi par l' 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l'espèce, le salaire expressément convenu était dû pour chaque année de travail. Les parties peuvent encore convenir, en sus ou à la place d'un autre mode de rémunération, d'un salaire variable à calculer d'après le chiffre d'affaires ou le bénéfice de l'entreprise ( art. 322a CO ). Une gratification, aux termes de l' art. 322d CO ,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En règle générale, la gratification est accessoire par rapport au salaire et elle ne peut avoir qu'une importance secondaire dans la rétribution du travailleur.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 ATF 131 III 615 consid. 5.1 et 5.2 p. 619; 129 III 276 consid. 2 p. 278). Au contraire, lorsque le salaire suffit largement à un train de vie approprié du travailleur et qu'il représente en outre un multiple du salaire moyen, un montant supplémentaire doit être considéré comme une gratification quelle que soit son importance par rapport au salaire (arrêt 4A_520/2012 du 26 février 2013, consid. 5.3, destiné à la publication).</w:t>
      </w:r>
    </w:p>
    <w:p>
      <w:r>
        <w:rPr>
          <w:b/>
        </w:rPr>
        <w:t>E. 2.3</w:t>
      </w:r>
    </w:p>
    <w:p>
      <w:r>
        <w:t>Le demandeur fait valoir que des montants supplémentaires très importants, correspondant à près de trois fois le salaire fixe, lui ont été promis puis versés pour les années 2006 et 2007. La défenderesse avait promis un montant déterminé aussi pour cette année-ci, bien qu'elle en eût censément réservé le caractère discrétionnaire. Compte tenu de ces promesses chiffrées et de l'ampleur des sommes concernées, celles-ci doivent, d'après le demandeur, être tenues pour intégrées au salaire convenu et les réserves stipulées par l'employeuse, excluant toute prétention autre que discrétionnaire pour les années ultérieures, sont inopérantes. Le demandeur insiste sur la performance prétendument excellente du secteur géré par lui et il fait valoir que d'autres cadres ou collaborateurs ont reçu un bonus pour 2008 alors que leurs résultats étaient pourtant moins favorables. La Cour de justice admet qu'en dépit du terme « discrétionnaire » inséré dans l'avenant au contrat, le montant supplémentaire de 2007 était dû à l'instar de celui de 2006. Elle prend cependant aussi en considération que ces prestations ont été convenues dès l'engagement du demandeur et elle constate que la défenderesse les a alors accordées pour déterminer son cocontractant à quitter son précédent emploi. Selon la Cour, au regard des clauses par ailleurs convenues concernant les bonus ou autres primes, et compte tenu de ce contexte spécifique où le demandeur avait négocié des prestations supplémentaires avant de s'engager, celui-ci n'a pas pu croire de bonne foi que des versements excédant le salaire de base lui étaient promis aussi pour les années postérieures à 2007. Le demandeur ne conteste pas s'être engagé au service de la défenderesse en considération des prestations supplémentaires qui lui étaient d'emblée promises pour 2006 et 2007. Quoique décisive dans la motivation de la décision attaquée, cette circonstance n'est pas discutée dans l'argumentation qu'il développe. Pour le surplus, l'appréciation de la Cour répond exactement au principe de la confiance qui régit l'interprétation des déclarations et autres manifestations de volonté entre cocontractants ( ATF 135 III 410 consid. 3.2 p. 412; 133 III 675 consid. 3.3 p. 681), de sorte que le Tribunal fédéral peut y adhérer. Il s'ensuit que pour les années 2008 et 2009, la défenderesse n'était débitrice ni d'un salaire variable ni d'une gratification convenue.</w:t>
      </w:r>
    </w:p>
    <w:p>
      <w:r>
        <w:rPr>
          <w:b/>
        </w:rPr>
        <w:t>E. 2.4</w:t>
      </w:r>
    </w:p>
    <w:p>
      <w:r>
        <w:t>Le demandeur a prétendu que d'autres cadres et collaborateurs de la succursale ont reçu, eux, un bonus pour l'année 2008, alors que leur performance était pourtant inférieure à celle que lui-même avait réalisée. Il n'a cependant pas allégué que ces personnes se soient trouvées dans des situations individuelles similaires à la sienne quant aux conditions spécifiques convenues lors de l'engagement et à la résiliation des rapports contractuels avant l'échéance du bonus concerné; c'est pourquoi la Cour de justice, considérant qu'une éventuelle discrimination contraire aux devoirs contractuels de l'employeuse (cf. ATF 129 III 276 consid. 3 p. 281) n'entrait pas en considération, s'est abstenue d'ordonner des mesures probatoires supplémentaires à ce sujet. Le demandeur lui fait grief d'avoir ainsi violé la maxime inquisitoire prétendument déterminante. Cette critique n'est pas fondée. Le code de procédure civile unifié (CPC) est entré en vigueur le 1er janvier 2011 alors que la cause était pendante devant le Tribunal de prud'hommes. Par l'effet des art. 404 al. 1 et 405 al. 1 CPC, la procédure de première instance est demeurée soumise au droit cantonal antérieur tandis que l'appel était régi par le code unifié. Les maximes à appliquer en appel étaient donc celles de ce code, sans égard aux dispositions cantonales encore pertinentes en première instance (arrêt 4A_741/2012 du 26 mars 2013, consid. 2). L'appel était par conséquent soumis à la maxime des débats selon l' art. 55 al. 1 CPC . Des preuves nouvelles n'étaient recevables qu'à l'aune de l' art. 317 al. 1 CPC et il appartenait aux juges d'appel d'apprécier, sur la base de l' art. 316 al. 3 CPC , l'opportunité de réinterroger des témoins déjà entendus en première instance. En l'occurrence, nonobstant l'opinion différente du demandeur, ces investigations ne s'imposaient pas.</w:t>
      </w:r>
    </w:p>
    <w:p>
      <w:r>
        <w:rPr>
          <w:b/>
        </w:rPr>
        <w:t>E. 3</w:t>
      </w:r>
    </w:p>
    <w:p>
      <w:r>
        <w:t>Le demandeur prétend à une indemnité de départ qu'il chiffre à 244'666 fr.65. Là également, il fait valoir que d'autres cadres ou collaborateurs congédiés en même temps ont reçu une indemnité de ce genre et il se plaint d'une discrimination injustifiée. Il admet qu'une indemnité lui a été proposée et qu'il l'a refusée parce qu'il n'acceptait pas de renoncer, en contrepartie, à toute prétention portant sur un éventuel bonus. Il expose que cette condition était certes appliquée par l'employeuse à toutes les personnes alors congédiées mais qu'elle lui était particulièrement défavorable en raison de l'importance des bonus qui lui restaient dû; ladite condition était donc, à son avis, discriminatoire. La prémisse de ce raisonnement est erronée car le demandeur, comme on l'a vu, ne pouvait de toute manière exiger aucun bonus en sus du salaire annuel convenu; il n'y a donc pas lieu de s'y attarder.</w:t>
      </w:r>
    </w:p>
    <w:p>
      <w:r>
        <w:rPr>
          <w:b/>
        </w:rPr>
        <w:t>E. 4</w:t>
      </w:r>
    </w:p>
    <w:p>
      <w:r>
        <w:t>Le demandeur prétend à une indemnité pour licenciement abusif qu'il chiffre à 734'000 francs. 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p. 514/515; 132 III 115 consid. 2.4 p. 118; 131 III 535 consid. 4.2 p. 539 in medio). L'énumération de l' art. 336 al. 1 CO n'est d'ailleurs pas exhaustive et un abus du droit de résiliation peut se révéler aussi dans d'autres situations qui apparaissent comparables, par leur gravité, aux hypothèses expressément visées ATF 136 III 513 ibidem; 132 III 115 consid. 2 p. 116; 131 III 535 consid. 4 p. 537).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 ATF 130 III 699 consid. 4.1 p. 702/703 Lorsque l'une des parties a résilié abusivement le contrat, l' art. 336a al. 1 et 2 CO autorise l'autre partie à réclamer une indemnité dont le juge fixe librement le montant en tenant compte de toutes les circonstances; cette indemnité ne peut toutefois pas excéder l'équivalent de six mois de salaire. Le demandeur soutient que son adverse partie l'a licencié dans le but d'éviter d'avoir à lui payer un bonus pour l'année 2008, c'est-à-dire pour empêcher la naissance de prétentions résultant du contrat de travail; ce cas de résiliation abusive est prévu par l' art. 336 al. 1 let . c CO. Le demandeur se dit licencié aussi parce qu'il avait exprimé auprès de plusieurs personnes de graves critiques à l'égard du comportement d'un autre des cadres de la succursale, comportement contraire aux devoirs professionnels et par ailleurs irrespectueux à l'égard des femmes, et il affirme que cet individu a pris part à la décision de le licencier. La Cour de justice a au contraire acquis la conviction que les propos tenus par le demandeur ne se trouvaient pas à l'origine du congé et que l'employeuse s'est effectivement séparée du demandeur pour le motif avancé par elle, soit en raison des difficultés économiques inhérentes à la crise financière de l'automne 2008. La Cour constate également que le cadre visé par les critiques n'a pas participé au choix des collaborateurs licenciés. Selon le demandeur, ces constatations de fait sont manifestement inexactes et fondées sur des investigations incomplètes. Il fait état de nombreux détails dans les dires des témoins et dans les circonstances de son licenciement. A l'étude de cet exposé, le Tribunal fédéral ne trouve guère sur quels points son auteur reproche réellement aux juges d'appel, sinon par de simples protestations ou dénégations, d'avoir commis une erreur certaine ou de s'être livrés à une appréciation absolument insoutenable des preuves administrées. L'argumentation présentée tend plutôt à substituer une appréciation différente de celle de l'autorité précédente; en conséquence, elle est irrecevable car elle ne satisfait pas aux exigences relatives à la motivation du grief d'arbitraire.</w:t>
      </w:r>
    </w:p>
    <w:p>
      <w:r>
        <w:rPr>
          <w:b/>
        </w:rPr>
        <w:t>E. 5</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