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4A_445/2020 vom 1. Dezember 2020</w:t>
      </w:r>
    </w:p>
    <w:p>
      <w:r>
        <w:t>Bundesgericht, 2020-12-01, FR</w:t>
      </w:r>
    </w:p>
    <w:p>
      <w:r>
        <w:rPr>
          <w:b/>
        </w:rPr>
        <w:t xml:space="preserve">Quelle: </w:t>
      </w:r>
      <w:r>
        <w:t>https://mcp.opencaselaw.ch/entscheid/bger_4A_445_2020</w:t>
      </w:r>
    </w:p>
    <w:p>
      <w:r>
        <w:t>FR: TF 4A_445/2020 du 1 décembre 2020</w:t>
      </w:r>
    </w:p>
    <w:p>
      <w:r>
        <w:t>IT: TF 4A_445/2020 del 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4A_445/2020</w:t>
      </w:r>
    </w:p>
    <w:p>
      <w:r>
        <w:t>Arrêt du 1er décembre 2020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Greffière: Mme Raetz.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Géraldine Veya,</w:t>
      </w:r>
    </w:p>
    <w:p>
      <w:r>
        <w:t>intimée.</w:t>
      </w:r>
    </w:p>
    <w:p>
      <w:r>
        <w:t>Objet</w:t>
      </w:r>
    </w:p>
    <w:p>
      <w:r>
        <w:t>contrat de bail; avance de frais,</w:t>
      </w:r>
    </w:p>
    <w:p>
      <w:r>
        <w:t>recours contre l'arrêt rendu le 5 août 2020 par la Cour d'appel civile du Tribunal cantonal du canton de Neuchâtel (CACIV.2020.61).</w:t>
      </w:r>
    </w:p>
    <w:p>
      <w:r>
        <w:t>La Présidente:</w:t>
      </w:r>
    </w:p>
    <w:p>
      <w:r>
        <w:t>Vu le recours formé le 7 septembre 2020 par A.________ (ci-après: le recourant) contre l'arrêt rendu le 5 août 2020 par le Tribunal cantonal du canton de Neuchâtel dans la cause divisant le recourant d'avec B.________ (ci-après: l'intimée),</w:t>
      </w:r>
    </w:p>
    <w:p>
      <w:r>
        <w:t>vu l'ordonnance présidentielle du 10 septembre 2020 invitant le recourant à verser, jusqu'au 25 septembre 2020 au plus tard, une avance de frais de 500 fr.,</w:t>
      </w:r>
    </w:p>
    <w:p>
      <w:r>
        <w:t>vu l'ordonnance du 24 septembre 2020 par laquelle ledit délai a été prolongé jusqu'au 26 octobre 2020 conformément à la demande du recourant,</w:t>
      </w:r>
    </w:p>
    <w:p>
      <w:r>
        <w:t>vu l'ordonnance du 2 novembre 2020 impartissant au recourant un délai supplémentaire, non prolongeable, au 17 novembre 2020, en application de l' art. 62 al. 3 LTF ;</w:t>
      </w:r>
    </w:p>
    <w:p>
      <w:r>
        <w:t>Considérant que cette ordonnance a été notifiée par envoi postal dit " acte judiciaire ", à remettre contre signature,</w:t>
      </w:r>
    </w:p>
    <w:p>
      <w:r>
        <w:t>que ladite ordonnance a été renvoyée au Tribunal fédéral avec la mention " non réclamé ", après l'expiration du délai de garde fixé par la poste,</w:t>
      </w:r>
    </w:p>
    <w:p>
      <w:r>
        <w:t>qu'en vertu de l' art. 44 al. 2 LTF , la notification de cette ordonnance est réputée accomplie au plus tard sept jours après la première tentative infructueuse de distribution,</w:t>
      </w:r>
    </w:p>
    <w:p>
      <w:r>
        <w:t>que l'avance de frais n'a pas été versée dans le délai imparti par l'ordonnance du 2 novembre 2020,</w:t>
      </w:r>
    </w:p>
    <w:p>
      <w:r>
        <w:t>que le recours est par conséquent irrecevable en vertu de l' art. 62 al. 3 LTF ;</w:t>
      </w:r>
    </w:p>
    <w:p>
      <w:r>
        <w:t>Considérant que les frais judiciaires doivent être mis à la charge du recourant, étant donné l'irrecevabilité de son recours (art. 66 al. 1 in fine LTF),</w:t>
      </w:r>
    </w:p>
    <w:p>
      <w:r>
        <w:t>que l'intimée, qui n'a pas été invitée à déposer une réponse, n'a pas droit à des dépens.</w:t>
      </w:r>
    </w:p>
    <w:p>
      <w:r>
        <w:t>Par ces motifs, vu l' art. 108 al. 1 let. a LTF 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200 fr., à la charge du recourant.</w:t>
      </w:r>
    </w:p>
    <w:p>
      <w:r>
        <w:t>3.</w:t>
      </w:r>
    </w:p>
    <w:p>
      <w:r>
        <w:t>Communique le présent arrêt aux parties et à la Cour d'appel civile du Tribunal cantonal du canton de Neuchâtel.</w:t>
      </w:r>
    </w:p>
    <w:p>
      <w:r>
        <w:t>Lausanne, le 1er décembre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La Greffière : Raetz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