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443/2009 vom 17. Dezember 2009</w:t>
      </w:r>
    </w:p>
    <w:p>
      <w:r>
        <w:t>Bundesgericht, 2009-12-17, DE</w:t>
      </w:r>
    </w:p>
    <w:p>
      <w:r>
        <w:rPr>
          <w:b/>
        </w:rPr>
        <w:t xml:space="preserve">Quelle: </w:t>
      </w:r>
      <w:r>
        <w:t>https://mcp.opencaselaw.ch/entscheid/bger_4A_443_2009</w:t>
      </w:r>
    </w:p>
    <w:p>
      <w:r>
        <w:t>FR: TF 4A 443/2009 du 17 décembre 2009</w:t>
      </w:r>
    </w:p>
    <w:p>
      <w:r>
        <w:t>IT: TF 4A 443/2009 del 17 dicembre 2009</w:t>
      </w:r>
    </w:p>
    <w:p>
      <w:pPr>
        <w:pStyle w:val="Heading2"/>
      </w:pPr>
      <w:r>
        <w:t>Regeste</w:t>
      </w:r>
    </w:p>
    <w:p>
      <w:r>
        <w:t>Einfache Gesellschaft; Liquidation | Gesellschaftsrecht</w:t>
      </w:r>
    </w:p>
    <w:p>
      <w:pPr>
        <w:pStyle w:val="Heading2"/>
      </w:pPr>
      <w:r>
        <w:t>Erwägungen</w:t>
      </w:r>
    </w:p>
    <w:p>
      <w:r>
        <w:rPr>
          <w:b/>
        </w:rPr>
        <w:t>E. 1</w:t>
      </w:r>
    </w:p>
    <w:p>
      <w:r>
        <w:t>Der Beschwerdeführer verlangte mit seiner Klage die Liquidation der zwischen den Parteien bestehenden einfachen Gesellschaft bezüglich der Stockwerkeinheit Nr. xxx im Haus W.________ in A.________. Darüber hinaus stellte er eine Forderung von Fr. 3'420.-- und verlangte den Ersatz von Betreibungs- und weiteren Kosten. In Übereinstimmung mit den Angaben der Vorinstanz ist die Streitwertgrenze von Fr. 30'000.-- nach Art. 74 Abs. 1 lit. b BGG als erreicht zu betrachten. Da auch die übrigen Sachurteilsvoraussetzungen erfüllt sind, ist - unter Vorbehalt einer rechtsgenüglichen Begründung - grundsätzlich auf die Beschwerde einzutreten.</w:t>
      </w:r>
    </w:p>
    <w:p>
      <w:r>
        <w:rPr>
          <w:b/>
        </w:rPr>
        <w:t>E. 2</w:t>
      </w:r>
    </w:p>
    <w:p>
      <w:r>
        <w:t>Der Beschwerdeführer rügt zunächst eine Verletzung der allgemeinen Verfahrensgarantien nach § 22 der Kantonsverfassung des Kantons Aargau vom 25. Juni 1980 (SAR 110.000; KV/AG).</w:t>
      </w:r>
    </w:p>
    <w:p>
      <w:r>
        <w:rPr>
          <w:b/>
        </w:rPr>
        <w:t>E. 2.1</w:t>
      </w:r>
    </w:p>
    <w:p>
      <w:r>
        <w:t>Die Verletzung kantonaler verfassungsmässiger Rechte stellt einen zulässigen Beschwerdegrund dar ( Art. 95 lit. c BGG ). Dieser Rügegrund erlangt allerdings nur dort praktische Bedeutung, wo die Kantone eigenständige Grundrechte in ihren Kantonsverfassungen verankern. Die Grundrechtsgarantien der Kantonsverfassungen besitzen nur insoweit selbständige Bedeutung, als sie über die entsprechenden Rechte der Bundesverfassung (und der EMRK) hinausgehen oder ein Recht gewährleisten, das die Bundesverfassung nicht garantiert (vgl. BGE 121 I 267 E. 3a). Inwiefern dies auf die allgemeinen Verfahrensgarantien von § 22 KV/AG im Hinblick auf die in der Bundesverfassung gewährleisteten Verfahrensgarantien nach Art. 29 BV zutrifft, tut der Beschwerdeführer nicht dar. Er rügt eine Unterlassung der richterlichen Fürsorgepflicht nach § 22 KV/AG und erblickt darin gleichzeitig einen Verstoss gegen Art. 9 und 29 BV , da von einer gleichen und gerechten Behandlung des Beschwerdeführers nach Treu und Glauben nicht gesprochen werden könne. Diese Rügen gehen fehl.</w:t>
      </w:r>
    </w:p>
    <w:p>
      <w:r>
        <w:rPr>
          <w:b/>
        </w:rPr>
        <w:t>E. 2.2</w:t>
      </w:r>
    </w:p>
    <w:p>
      <w:r>
        <w:t>Was der Beschwerdeführer als Verletzung der richterlichen Fürsorgepflicht nach § 22 Abs. 2 KV/AG konkret vorbringt, kann vor Bundesgericht nicht gehört werden. Er wirft unter diesem Titel dem Bezirksgerichtspräsidenten Zurzach vor, er hätte nach Eingang der Klage den damals noch nicht anwaltlich vertretenen Beschwerdeführer aufklären müssen, insbesondere auch über die Kostenfolgen. Zudem habe er keine Vergleichsbemühungen unternommen. Es kann offen bleiben, ob § 22 Abs. 2 KV/AG , wonach Unbeholfene in den Verfahren nicht benachteiligt werden dürfen, generell einen Anspruch der unbeholfenen Partei auf richterliche Aufklärung über die Kostenrisiken sowie auf die Durchführung von Vergleichsverhandlungen begründet und ob der Beschwerdeführer bereits als "unbeholfen" im Sinne dieser Bestimmung zu betrachten ist, nur weil er nicht anwaltlich vertreten war. Denn diese Rüge hätte der Beschwerdeführer, der vor der Obergerichtsverhandlung einen Anwalt beizog, im Appellationsverfahren vor Obergericht erheben müssen. Treu und Glauben verbieten, mit einer solchen Verfahrensrüge gegen das Vorgehen des erstinstanzlichen Richters bis vor Bundesgericht zuzuwarten ( BGE 135 III 334 E. 2.2 S. 336 mit Hinweisen). Darauf kann daher nicht eingetreten werden.</w:t>
      </w:r>
    </w:p>
    <w:p>
      <w:r>
        <w:rPr>
          <w:b/>
        </w:rPr>
        <w:t>E. 2.3</w:t>
      </w:r>
    </w:p>
    <w:p>
      <w:r>
        <w:t>Den Anspruch auf faire und gleiche Behandlung erachtet der Beschwerdeführer dadurch verletzt, dass er, obwohl nicht anwaltlich vertreten, "in keiner Weise unterstützt" worden sei, während der Antrag der anwaltlich vertretenen Beschwerdegegnerin "äusserst wohlwollend" als Antrag auf Liquidation der gesamten einfachen Gesellschaft interpretiert werde. Der Vorwurf ist unbegründet. Die Vorinstanz ist korrekt vorgegangen, indem sie den Gehalt der auslegungsbedürftigen Prozesserklärungen der Beschwerdegegnerin nach dem Vertrauensprinzip ermittelte. Darin, dass die von der Vorinstanz vorgenommene Auslegung nicht im Sinne des Beschwerdeführers ausfiel, liegt keine Verletzung des Anspruchs auf ein faires Verfahren.</w:t>
      </w:r>
    </w:p>
    <w:p>
      <w:r>
        <w:rPr>
          <w:b/>
        </w:rPr>
        <w:t>E. 3</w:t>
      </w:r>
    </w:p>
    <w:p>
      <w:r>
        <w:t>Der Beschwerdeführer rügt sodann eine Verletzung von Art. 549 OR .</w:t>
      </w:r>
    </w:p>
    <w:p>
      <w:r>
        <w:rPr>
          <w:b/>
        </w:rPr>
        <w:t>E. 3.1</w:t>
      </w:r>
    </w:p>
    <w:p>
      <w:r>
        <w:t>Er macht geltend, der blosse Antrag der Beschwerdegegnerin, die einfache Gesellschaft zu liquidieren, genüge nicht. Vielmehr müsste dieser Antrag konkretisiert werden. Dazu gehöre zum Beispiel ein Begehren auf Feststellung der Aktiven und Passiven zu einem bestimmten Stichtag. Auch müsse feststehen, wie der Gewinn und Verlust zu verteilen sei. Der Liquidator könne nicht von sich aus den Verteilschlüssel festlegen, wenn die Parteien sich diesbezüglich uneinig seien. Der Antrag der Beschwerdegegnerin sei daher völlig ungenügend und bilde keine Grundlage für eine Liquidation der gesamten einfachen Gesellschaft. Die angeordnete Liquidation mit Ernennung eines Liquidators erweise sich als undurchführbar. Dadurch werde Art. 549 OR verletzt. Die Sache müsse an die erste Instanz zurückgewiesen werden, verbunden mit der Weisung, die Parteien aufzufordern, konkretisierte Anträge zur Liquidation der gesamten einfachen Gesellschaft zu stellen, insbesondere auf Feststellung der Gesellschaftsaktiven und -passiven, auf Festsetzung des massgeblichen Stichtages sowie des Verteilschlüssels von Gewinn und Verlust.</w:t>
      </w:r>
    </w:p>
    <w:p>
      <w:r>
        <w:rPr>
          <w:b/>
        </w:rPr>
        <w:t>E. 3.2</w:t>
      </w:r>
    </w:p>
    <w:p>
      <w:r>
        <w:t>Nach den unbestrittenen Feststellungen der Vorinstanz besteht zwischen den Parteien eine einfache Gesellschaft. Mit der Beendigung des Konkubinats trat der Auflösungsgrund nach Art. 545 Abs. 1 Ziff. 1 OR ein. Die Auflösung der Gesellschaft bedeutet dabei nicht deren sofortige Beendigung; vielmehr besteht die Gesellschaft als so genannte Abwicklungsgesellschaft bis zur vollständigen Liquidation weiter ( BGE 119 II 119 E. 3a S. 122; 105 II 204 E. 2a S. 206 f.). Ist - wie im folgenden Fall - ein Auflösungsgrund eingetreten und befindet sich die Gesellschaft damit in Liquidation, so hat der einzelne Gesellschafter nach dem Grundsatz der Einheitlichkeit der Liquidation keinen Anspruch darauf, eine Forderung aus einem einzelnen Vorgang losgelöst von der Gesamtheit der gesellschaftlichen Beziehungen geltend machen zu können. Die Auseinandersetzung umfasst vielmehr den gesamten Komplex der liquidationsbedürftigen Verhältnisse. Die Liquidation kann sich nicht auf die Abwicklung einzelner Rechtsverhältnisse beschränken, sondern muss vollständig durchgeführt werden. Sie ist erst beendet, wenn in jeder Beziehung eine Auseinandersetzung nach Gesellschaftsrecht stattgefunden hat ( BGE 116 II 316 E. 2d; 93 II 387 E. 4 S. 391). Grundsätzlich ist die Liquidation von allen Gesellschaftern oder von einem Liquidator vorzunehmen, der mangels Regelung im Gesellschaftsvertrag oder Zustandekommen eines Gesellschaftsbeschlusses vom Richter eingesetzt werden kann. Sofern die Gesellschafter sich nicht auf eine andere Art der Liquidation geeinigt haben, sind gemäss gesetzlicher Ordnung nach Feststellung der Aktiven und Passiven zuerst die Gesellschaftsschulden zu tilgen, und es muss, soweit es zur Durchführung dieser Regel erforderlich ist, das Vermögen versilbert werden. Zu den Schulden zählen dabei auch Ansprüche auf Ersatz von Aufwendungen im Sinne von Art. 537 OR . Hierauf erhalten die Gesellschafter ihre Einlagen dem Werte nach zurück, entweder in Sachwerten oder in Geld nach weiterer Versilberung des Vermögens. Der verbleibende Rest wird als Gewinn oder Verlust behandelt (Urteil 4C.416/2005 vom 24. Februar 2006 E. 3.3 mit Hinweisen).</w:t>
      </w:r>
    </w:p>
    <w:p>
      <w:r>
        <w:rPr>
          <w:b/>
        </w:rPr>
        <w:t>E. 3.3</w:t>
      </w:r>
    </w:p>
    <w:p>
      <w:r>
        <w:t>Jeder Gesellschafter hat das Recht, mittels Klage die Durchführung der Liquidation zu verlangen. Dabei kann er vom Richter die Ernennung eines Liquidators verlangen (Staehelin, in: Basler Kommentar, Obligationenrecht II, 3. Aufl. 2008, N. 1 zu Art. 548/549 OR und N. 8 zu Art. 550 OR ). Der Liquidator hat die Liquidation nach den gesetzlichen Vorschriften vorzunehmen. Innerhalb gewisser Schranken kann vom Richter auch verlangt werden, dem Liquidator Weisungen zu erteilen betreffend die Durchführung einzelner spezifizierter Liquidationshandlungen (Staehelin, a.a.O., N. 1 zu Art. 548/549 OR und N. 9 zu Art. 550 OR ). Nur in diesem Rahmen, wenn der klagende Gesellschafter vom Richter die Erteilung bestimmter Weisungen an den Liquidator verlangen will, genügt das allgemeine Rechtsbegehren "es sei die einfache Gesellschaft zu liquidieren" nicht, sondern müssen die verlangten Handlungen spezifiziert werden. Dies allein und nichts anderes erläutert Staehelin, an der vom Beschwerdeführer angerufenen Kommentarstelle (Staehelin, a.a.O., N. 1 zu Art. 548/549 OR). Der klagende Gesellschafter kann, muss aber nicht die Erteilung von Weisungen betreffend die Durchführung gewisser spezifizierter Liquidationshandlungen verlangen. Die Beschwerdegegnerin durfte darauf verzichten. Die Vorinstanz hat demnach kein Bundesrecht - namentlich nicht Art. 549 OR - verletzt, indem sie den Antrag der Beschwerdegegnerin auf Liquidation der einfachen Gesellschaft und Einsetzung eines Liquidators genügen liess.</w:t>
      </w:r>
    </w:p>
    <w:p>
      <w:r>
        <w:rPr>
          <w:b/>
        </w:rPr>
        <w:t>E. 4</w:t>
      </w:r>
    </w:p>
    <w:p>
      <w:r>
        <w:t>Der Beschwerdeführer rügt im Weiteren die willkürliche Festsetzung der Parteikosten. Die gemäss den Urteilen des Bezirksgerichts und des Obergerichts zu bezahlenden Parteikosten sprengten jeden vernünftigen Rahmen und stünden zum effektiven Aufwand der Rechtsvertreterin der Beschwerdegegnerin in keinem akzeptablen Verhältnis. Auf diese Rüge ist nicht einzutreten. Soweit die Parteikostenfestsetzung im Urteil des Bezirksgerichts angefochten ist, fehlt es an der Letztinstanzlichkeit. Soweit sich die Willkürrüge gegen die Parteikostenfestsetzung im angefochtenen Urteil richtet, ist sie ungenügend begründet ( Art. 106 Abs. 2 BGG ). Der Beschwerdeführer nennt nicht einmal die kantonalen Gesetzes- und Tarifvorschriften, bei deren Anwendung die Vorinstanz in Willkür verfallen sein soll. Vor allem legt er seiner Rüge, der zugesprochene Betrag stehe in keinem akzeptablen Verhältnis zum geleisteten Aufwand, die Annahme zugrunde, die Parteientschädigung bemesse sich nach Zeitaufwand. Er belegt diese Behauptung in keiner Weise, was er aber tun müsste, liegt doch eine streitwertabhängige Bemessung nahe (vgl. BGE 94 II 122 , wonach bei Klagen auf Auflösung einer einfachen Gesellschaft der Streitwert dem Gesamtwert des gemeinsamen Vermögens entspricht). Bei einer streitwertabhängigen Bemessung der Parteientschädigung kann aber nicht einfach der erforderliche Zeitaufwand als Bezugsgrösse herangezogen werden.</w:t>
      </w:r>
    </w:p>
    <w:p>
      <w:r>
        <w:rPr>
          <w:b/>
        </w:rPr>
        <w:t>E. 5</w:t>
      </w:r>
    </w:p>
    <w:p>
      <w:r>
        <w:t>Die Beschwerde ist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