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4A_442/2023 vom 11. Januar 2024</w:t>
      </w:r>
    </w:p>
    <w:p>
      <w:r>
        <w:t>Bundesgericht, 2024-01-11, FR</w:t>
      </w:r>
    </w:p>
    <w:p>
      <w:r>
        <w:rPr>
          <w:b/>
        </w:rPr>
        <w:t xml:space="preserve">Quelle: </w:t>
      </w:r>
      <w:r>
        <w:t>https://mcp.opencaselaw.ch/entscheid/bger_4A_442_2023</w:t>
      </w:r>
    </w:p>
    <w:p>
      <w:r>
        <w:t>FR: TF 4A_442/2023 du 11 janvier 2024</w:t>
      </w:r>
    </w:p>
    <w:p>
      <w:r>
        <w:t>IT: TF 4A_442/2023 del 11 gennaio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des moyens invoqués par l'intéressé.</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e LDIP, reproche à l'arbitre d'avoir enfreint le principe de célérité et, partant, d'avoir violé l'ordre public procédural.</w:t>
      </w:r>
    </w:p>
    <w:p>
      <w:r>
        <w:rPr>
          <w:b/>
        </w:rPr>
        <w:t>E. 5.1</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5.2</w:t>
      </w:r>
    </w:p>
    <w:p>
      <w:r>
        <w:t>Pour étayer son grief, le recourant fait valoir que, selon l'art. R59 al. 5 du Code de l'arbitrage en matière de sport (ci-après: le Code), dans sa version applicable à la présente procédure, le dispositif de la sentence doit être communiqué aux parties dans les trois mois suivant le transfert du dossier à l'arbitre. L'intéressé relève que ledit délai peut être prolongé par le TAS sur requête de l'arbitre, ainsi que le prévoit expressément l'art. R59 al. 5 du Code. Il concède en outre lui-même que ce délai est très rarement respecté en pratique et qu'il est fréquemment prolongé spontanément par le TAS. En l'occurrence, le recourant observe que l'arbitre a reçu le dossier des deux causes jointes le 10 mai 2022 et qu'il a rendu sa sentence le 13 juillet 2023. Il souligne que le TAS a prolongé à huit reprises le délai dans lequel l'arbitre devait rendre sa sentence et indique " avoir du mal à comprendre pourquoi l'arbitre a mis neuf mois et une semaine suivant la tenue de l'audience... pour communiquer sa décision...". L'intéressé se plaint en outre de ce que le TAS ne lui a jamais communiqué les raisons pour lesquelles ces diverses prolongations de délai avaient été accordées à l'arbitre, alors même qu'il en avait fait la demande par pli du 25 mai 2023.</w:t>
      </w:r>
    </w:p>
    <w:p>
      <w:r>
        <w:rPr>
          <w:b/>
        </w:rPr>
        <w:t>E. 5.3.1</w:t>
      </w:r>
    </w:p>
    <w:p>
      <w:r>
        <w:t>Dans plusieurs arrêts, le Tribunal fédéral s'est demandé dans quelle mesure la violation du principe de célérité pouvait être assimilée à une atteinte à l'ordre public procédural (arrêts 4A_22/2023 du 16 mai 2023 consid.7.3.2; 4A_668/2020 du 17 mai 2021 consid. 4.2). Il a toutefois renoncé à pousser plus avant l'examen de cette question dès lors que dans le cas concret, le TAS n'avait pas enfreint ledit principe (arrêts 4A_22/2023, précité, consid.7.3.2; 4A_668/2020, précité, consid. 4.2). La même conclusion s'impose ici, pour les motifs exposés ci-dessous.</w:t>
      </w:r>
    </w:p>
    <w:p>
      <w:r>
        <w:rPr>
          <w:b/>
        </w:rPr>
        <w:t>E. 5.3.2</w:t>
      </w:r>
    </w:p>
    <w:p>
      <w:r>
        <w:t>Pour apprécier si une cause a été jugée dans un délai raisonnable, il convient de tenir compte de l'ensemble des circonstances du cas concret et, singulièrement, de l'étendue et de la complexité de l'afaire, tant au niveau factuel que juridique, de la nature de la procédure et de son enjeu pour le justiciable, ainsi que du comportement des parties et de celui du tribunal (arrêts 4A_22/2023, précité, consid. 7.3.2; 4A_412/2021 du 21 avril 2022 et les références citées).</w:t>
      </w:r>
    </w:p>
    <w:p>
      <w:r>
        <w:t>En l'espèce, comme le relève l'intimée n. 1 sans être contredite par son adversaire, la procédure conduite par le TAS présentait une certaine complexité puisqu'elle a notamment impliqué la jonction de deux procédures initialement distinctes et l'audition de nombreux experts scientifiques. Par ailleurs, le recourant a lui aussi contribué à l'allongement de la durée de la procédure, car il a lui-même requis plusieurs prolongations de délai. Quoi qu'il en soit, eu égard à l'ensemble des circonstances, la durée de la procédure, que l'on apprécie celle-ci globalement à compter de la saisine du TAS ou depuis l'audience arbitrale tenue le 6 octobre 2022, n'apparaît pas déraisonnable et ne conduit nullement à une contradiction insupportable avec le sentiment de justice. Au demeurant, force est de constater que l'intéressé ne s'est jamais véritablement plaint d'une éventuelle lenteur de la procédure. Tout au plus s'est-il borné à demander, lorsqu'il a reçu la septième prolongation de délai en mai 2023, des précisions relatives aux motifs expliquant un nouveau report du délai. Le recourant n'a en revanche rien trouvé à redire à la nouvelle prolongation de délai octroyée le 26 juin 2023. A le supposer recevable, le moyen considéré ne peut dès lors qu'être rejeté.</w:t>
      </w:r>
    </w:p>
    <w:p>
      <w:r>
        <w:rPr>
          <w:b/>
        </w:rPr>
        <w:t>E. 6</w:t>
      </w:r>
    </w:p>
    <w:p>
      <w:r>
        <w:t>Dans un second moyen, le recourant, invoquant l' art. 190 al. 2 let . d LDIP, dénonce une violation du principe d'égalité des parties.</w:t>
      </w:r>
    </w:p>
    <w:p>
      <w:r>
        <w:rPr>
          <w:b/>
        </w:rPr>
        <w:t>E. 6.1</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Le recourant fait valoir, en substance, qu'il a éprouvé des difficultés à trouver un expert disposé à se prononcer sur le travail d'analyse effectué par le laboratoire antidopage de Lausanne, ce qu'il a du reste mentionné au cours de la procédure d'arbitrage.</w:t>
      </w:r>
    </w:p>
    <w:p>
      <w:r>
        <w:rPr>
          <w:b/>
        </w:rPr>
        <w:t>E. 6.3</w:t>
      </w:r>
    </w:p>
    <w:p>
      <w:r>
        <w:t>Tel qu'il est présenté, le grief ne saurait prospérer. Sous le couvert d'une prétendue violation du principe d'égalité des parties, l'intéressé ne critique, en réalité, pas la manière dont l'arbitre a conduit la procédure mais déplore le fait qu'il a éprouvé des difficultés pour trouver un expert en raison de certaines règles adoptées par l'intimée n. 1, lesquelles empêcheraient un expert d'un laboratoire accrédité par cette dernière d'évaluer le travail effectué par un autre laboratoire. Son grief manque ainsi à l'évidence sa cible. En tout état de cause, le recourant reconnaît lui-même avoir fini par trouver deux experts, de sorte que l'on ne discerne pas quelle influence le vice dénoncé a pu avoir sur l'issue de la procédure.</w:t>
      </w:r>
    </w:p>
    <w:p>
      <w:r>
        <w:rPr>
          <w:b/>
        </w:rPr>
        <w:t>E. 7</w:t>
      </w:r>
    </w:p>
    <w:p>
      <w:r>
        <w:t>Au vu de ce qui précède, le recours doit être rejeté dans la mesure de sa recevabilité. Le recourant, qui succombe, supportera les frais de la présente procédure ( art. 66 al. 1 LTF ). Il versera en outre des dépens aux intimées n. 1 et 2 ( art. 68 al. 1 LTF ). Vu le caractère très succinct de la réponse déposée par l'intimée n. 2, le montant alloué à cette dernière sera sensiblement réduit en application de l'art.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