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440/2023 vom 9. Oktober 2023</w:t>
      </w:r>
    </w:p>
    <w:p>
      <w:r>
        <w:t>Bundesgericht, 2023-10-09, DE</w:t>
      </w:r>
    </w:p>
    <w:p>
      <w:r>
        <w:rPr>
          <w:b/>
        </w:rPr>
        <w:t xml:space="preserve">Quelle: </w:t>
      </w:r>
      <w:r>
        <w:t>https://mcp.opencaselaw.ch/entscheid/bger_4A_440_2023</w:t>
      </w:r>
    </w:p>
    <w:p>
      <w:r>
        <w:t>FR: TF 4A 440/2023 du 9 octobre 2023</w:t>
      </w:r>
    </w:p>
    <w:p>
      <w:r>
        <w:t>IT: TF 4A 440/2023 del 9 ottobre 2023</w:t>
      </w:r>
    </w:p>
    <w:p>
      <w:pPr>
        <w:pStyle w:val="Heading2"/>
      </w:pPr>
      <w:r>
        <w:t>Regeste</w:t>
      </w:r>
    </w:p>
    <w:p>
      <w:r>
        <w:t>Art. 8 UWG; Rechtsfrage von grundsätzlicher Bedeutung, | Immaterialgüter-, Wettbewerbs- und Kartellrecht</w:t>
      </w:r>
    </w:p>
    <w:p>
      <w:pPr>
        <w:pStyle w:val="Heading2"/>
      </w:pPr>
      <w:r>
        <w:t>Erwägungen</w:t>
      </w:r>
    </w:p>
    <w:p>
      <w:r>
        <w:rPr>
          <w:b/>
        </w:rPr>
        <w:t>E. 1.1</w:t>
      </w:r>
    </w:p>
    <w:p>
      <w:r>
        <w:t>Der Streitwert der vorliegenden Streitsache beträgt nach den eigenen Angaben des Beschwerdeführers, denen sich die Beschwerdegegnerin und die Vorinstanzen angeschlossen haben, Fr. 480.--. Er erreicht damit die für die Beschwerde in Zivilsachen erforderliche Grenze von Fr. 30'000.-- ( Art. 74 Abs. 1 lit. b BGG ) nicht.</w:t>
      </w:r>
    </w:p>
    <w:p>
      <w:r>
        <w:rPr>
          <w:b/>
        </w:rPr>
        <w:t>E. 1.2</w:t>
      </w:r>
    </w:p>
    <w:p>
      <w:r>
        <w:t>Da keiner der Ausnahmefälle nach Art. 74 Abs. 2 lit. b-e BGG für eine streitwertunabhängige Zulassung der Beschwerde in Zivilsachen vorliegt, ist diese demnach nur zulässig, wenn sich im vorliegenden Fall eine Rechtsfrage von grundsätzlicher Bedeutung stellt ( Art. 74 Abs. 2 lit. a BGG ). Dies trifft zu,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mit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mit weiteren Hinweisen). In Fällen, in denen die Beschwerde in Zivilsachen nur unter dieser Voraussetzung zulässig ist, muss in der Beschwerdeschrift ausgeführt werden, warum sie erfüllt ist ( Art. 42 Abs. 2 BGG ), ansonsten die Beschwerde in Zivilsachen unzulässig ist ( BGE 133 III 439 E. 2.2.2.1 und 645 E. 2.4).</w:t>
      </w:r>
    </w:p>
    <w:p>
      <w:r>
        <w:rPr>
          <w:b/>
        </w:rPr>
        <w:t>E. 1.3</w:t>
      </w:r>
    </w:p>
    <w:p>
      <w:r>
        <w:t>Der Beschwerdeführer meint, es bestehe in mehrfacher Hinsicht "Klärungsbedarf betreffend die Anwendung von Art. 8 UWG ", mindestens aber zu folgenden drei Fragen: "Wie ist bei der Prüfung einer AGB-Klausel im Lichte von Art. 8 UWG vorzugehen? Insbesondere: Sind AGB-Klauseln bei einer Prüfung auf Missbräuchlichkeit gemäss Art. 8 UWG aus sich heraus zu interpretieren oder dürfen im Rahmen der Überprüfung Umstände berücksichtigt werden, welche von einer Partei in Ergänzung zu einer angefochtenen AGB-Bestimmung geltend gemacht werden? Ist es mit Art. 8 UWG vereinbar, in Allgemeinen Geschäftsbedingungen mit Konsumenten unterschiedliche Formvorschriften für eine Kündigung durch die beiden Parteien aufzunehmen und dabei die Kündigungsmodalitäten für den Konsumenten so einzuschränken, dass dieser für die Kündigung auf die Mitwirkung der Gegenpartei angewiesen ist? Ist es mit Art. 8 UWG vereinbar, in Allgemeinen Geschäftsbedingungen mit Konsumenten für eine Kündigung ohne Einhaltung der ordentlichen Kündigungsfrist nebst der Bezahlung der monatlichen Grundgebühren eine Gebühr (von in casu CHF 100) vorzusehen?"</w:t>
      </w:r>
    </w:p>
    <w:p>
      <w:r>
        <w:rPr>
          <w:b/>
        </w:rPr>
        <w:t>E. 1.4</w:t>
      </w:r>
    </w:p>
    <w:p>
      <w:r>
        <w:t>Damit verkennt er den Begriff der Rechtsfrage von grundsätzlicher Bedeutung im Sinne von Art. 74 Abs. 2 lit. a BGG , wie sie den Weg ans Bundesgericht öffnet. Die aufgeworfene Frage muss sich im konkreten Fall so stellen und zwar in einer für den betreffenden Fall entscheidenden Weise. Das Bundesgericht gibt keine allgemeinen Rechtsmeinungen ab zu Rechtsfragen, die sich bei der Anwendung einer Norm stellen können, auch wenn es sich um eine neuere Norm handelt, zu der noch kaum Rechtsprechung besteht. Das gilt auch für die beschränkte Inhaltskontrolle, welche der Gesetzgeber per 1. Juli 2012 mit Art. 8 UWG für allgemeine Geschäftsbedingungen in Verträgen eingeführt hat. Zwar kann der Konsument diese Inhaltskontrolle betreffend eine beanstandete AGB-Bestimmung insofern abstrakt verlangen, als sie (noch) nicht auf den Kläger angewendet worden sein muss (vgl. etwa Florent Thouvenin, Basler Kommentar, 2013, N. 75 und 92 zu Art. 8 UWG ; Thomas Probst, in: Jung/Spitz [Hrsg.], Bundesgesetz gegen den unlauteren Wettbewerb [UWG], Handkommentar, 3. Aufl. 2023, N. 479 ff. zu Art. 8 UWG ), also etwa betreffend eine Kündigungsklausel nicht erst dann, wenn dem Kläger gestützt auf diese Klausel gekündigt worden ist. Das heisst aber nicht, dass sämtliche Rechtsfragen, die im Zusammenhang mit der AGB-Kontrolle gemäss Art. 8 UWG auftreten können und die noch nie entschieden worden sind, solche von grundsätzlicher Bedeutung im Sinne von Art. 74 Abs. 2 lit. a BGG darstellen. Das Bundesgericht hat auch zu Art. 8 UWG keine allgemeinen Anwendungsfragen zu klären, also etwa vorzugeben, "wie bei der Prüfung einer AGB-Klausel im Lichte von Art. 8 UWG vorzugehen ist", wie dies der Beschwerdeführer mit seiner ersten Frage anstrebt. Ansonsten müsste jedes Mal eine Rechtsfrage von grundsätzlicher Bedeutung bejaht werden, wenn eine AGB-Kontrolle verlangt wird. Dies ist nicht der Sinn von Art. 74 Abs. 2 lit. a BGG . In Bezug auf die weiteren vom Beschwerdeführer aufgeworfenen Fragen betreffend Kündigungsmodalitäten und Kündigungsgebühr von Fr. 100.-- ist zudem die Grundsätzlichkeit nicht dargetan. Vorliegend kommt ein Weiteres hinzu: Die vom Beschwerdeführer aufgeworfenen Fragen stellen sich im bundesgerichtlichen Verfahren gar nicht, da die Vorinstanz auch betreffend das Beseitigungs- und Verbotsbegehren mangels hinreichender Auseinandersetzung mit den erstinstanzlichen Erwägungen über weite Strecken nicht auf die Beschwerde eingetreten ist und sich demzufolge ihrerseits nicht eingehend mit den aufgeworfenen Fragen befasst hat. Bei erfolgreicher Beschwerde wäre die Sache daher zur Einhaltung des Instanzenzuges an die Vorinstanz zurückzuweisen. Die Beschwerde in Zivilsachen ist daher auch unter dem Titel der Rechtsfrage von grundsätzlicher Bedeutung nicht gegeben. Es ist darauf nicht einzutreten.</w:t>
      </w:r>
    </w:p>
    <w:p>
      <w:r>
        <w:rPr>
          <w:b/>
        </w:rPr>
        <w:t>E. 2</w:t>
      </w:r>
    </w:p>
    <w:p>
      <w:r>
        <w:t>Der Beschwerdeführer erhebt auch subsidiäre Verfassungsbeschwerde im Sinne der Art. 113 ff. BGG . Mit dieser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Macht der Beschwerdeführer eine Verletzung des Willkürverbots nach Art. 9 BV geltend, ist im Einzelnen zu zeigen, inwiefern der angefochtene Entscheid offensichtlich unhaltbar ist; es genügt namentlich nicht, wenn einfach behauptet wird, der angefochtene Entscheid sei willkürlich ( Art. 42 Abs. 2 und Art. 106 Abs. 2 BGG ; vgl. BGE 135 III 513 E. 4.3; 134 II 349 E. 3 ; 133 I 1 E. 5.5, 133 III 393 E. 7.1). Der Beschwerdeführer erfüllt die genannten Begründungsanforderungen nicht. Er zeigt nicht unter Bezugnahme auf die Erwägungen des angefochtenen Urteils des Obergerichts auf, inwiefern dieses verfassungsmässige Rechte verletzt hätte. Vielmehr begnügt er sich damit, den "Vorinstanzen" pauschal vorzuwerfen, mit ihrer von der seinigen abweichenden Beurteilung in Willkür verfallen zu sein, wobei er diesen Vorwurf namentlich gegen die erste Instanz richtet und übersieht, dass er vorab als willkürlich ausweisen müsste, dass das Obergericht seine Beschwerdebegründung über weite Strecken mangels hinreichender Auseinandersetzung mit den erstinstanzlichen Erwägungen als ungenügend erachtete.</w:t>
      </w:r>
    </w:p>
    <w:p>
      <w:r>
        <w:rPr>
          <w:b/>
        </w:rPr>
        <w:t>E. 3</w:t>
      </w:r>
    </w:p>
    <w:p>
      <w:r>
        <w:t>Weder auf die Beschwerde in Zivilsachen noch auf die subsidiäre Verfassungsbeschwerde kann eingetreten werden. Bei diesem Ausgang des Verfahrens wird der Beschwerdeführer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