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4A_440/2017 vom 3. April 2018</w:t>
      </w:r>
    </w:p>
    <w:p>
      <w:r>
        <w:t>Bundesgericht, 2018-04-03, FR</w:t>
      </w:r>
    </w:p>
    <w:p>
      <w:r>
        <w:rPr>
          <w:b/>
        </w:rPr>
        <w:t xml:space="preserve">Quelle: </w:t>
      </w:r>
      <w:r>
        <w:t>https://mcp.opencaselaw.ch/entscheid/bger_4A_440_2017</w:t>
      </w:r>
    </w:p>
    <w:p>
      <w:r>
        <w:t>FR: TF 4A_440/2017 du 3 avril 2018</w:t>
      </w:r>
    </w:p>
    <w:p>
      <w:r>
        <w:t>IT: TF 4A_440/2017 del 3 aprile 2018</w:t>
      </w:r>
    </w:p>
    <w:p>
      <w:pPr>
        <w:pStyle w:val="Heading2"/>
      </w:pPr>
      <w:r>
        <w:t>Erwägungen</w:t>
      </w:r>
    </w:p>
    <w:p>
      <w:r>
        <w:rPr>
          <w:b/>
        </w:rPr>
        <w:t>E. 1</w:t>
      </w:r>
    </w:p>
    <w:p>
      <w:r>
        <w:t>Le recours au Tribunal fédéral est recevable contre les décisions qui mettent fin à la procédure ( art. 90 LTF ). Il est aussi recevable contre les décisions préjudicielles ou incidentes communiquées séparément de la décision finale, lorsque, parmi d'autres cas, le succès du recours peut conduire immédiatement à une décision finale, et éviter ainsi une procédure probatoire longue et coûteuse ( art. 93 al. 1 let. b LTF ). Selon la jurisprudence, il incombe à la partie recourante d'établir,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p. 633; voir aussi ATF 142 V 26 consid. 1 p. 28; 138 III 46 consid. 1.2 p. 47).</w:t>
      </w:r>
    </w:p>
    <w:p>
      <w:r>
        <w:t>Le jugement du 30 juin 2015 n'a pas terminé l'instance introduite devant le Juge de district; ce prononcé est au contraire incident aux termes de l' art. 93 al. 1 LTF . Le jugement d'appel a terminé l'instance introduite devant le Tribunal cantonal; néanmoins, parce que l'appel était dirigé contre une décision incidente, le jugement d'appel revêt lui aussi le caractère d'une décision incidente selon l' art. 93 al. 1 LTF ( ATF 142 III 653 consid. 1.1 p. 654/655; 137 III 380 consid. 1.1 p. 381/382).</w:t>
      </w:r>
    </w:p>
    <w:p>
      <w:r>
        <w:t>Ce jugement d'appel indique que la défenderesse a requis une expertise destinée à établir les « pertes de D.________ SA consécutives à l'activité du demandeur » et qu'elle s'est aussi réservé de requérir une expertise destinée à « démontrer la diminution, par la commission européenne, des moyens mis à disposition pour les projets de D.________ SA ». Le Tribunal cantonal retient en conséquence et au regard de l' art. 237 al. 1 CPC que « le renversement de la décision [du Juge de district] est de nature à éviter la procédure probatoire, très vraisemblablement longue et coûteuse ».</w:t>
      </w:r>
    </w:p>
    <w:p>
      <w:r>
        <w:t>Les mesures probatoires ainsi requises se rapportent au mécanisme d'ajustement du prix de vente des actions dont les parties sont convenues. L'appréciation que le Tribunal cantonal a portée au regard de l' art. 237 al. 1 CPC , à laquelle la défenderesse se réfère, est concluante aussi au regard de l' art. 93 al. 1 let. b LTF . Le jugement d'appel est donc susceptible d'un recours séparé conformément à cette disposition.</w:t>
      </w:r>
    </w:p>
    <w:p>
      <w:r>
        <w:t>Les conditions de recevabilité du recours en matière civile sont pour le surplus satisfaites, notamment à raison de la valeur litigieuse.</w:t>
      </w:r>
    </w:p>
    <w:p>
      <w:r>
        <w:rPr>
          <w:b/>
        </w:rPr>
        <w:t>E. 2</w:t>
      </w:r>
    </w:p>
    <w:p>
      <w:r>
        <w:t>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3</w:t>
      </w:r>
    </w:p>
    <w:p>
      <w:r>
        <w:t>La défenderesse soutient que le contrat de vente de 2'600 actions conclu le 16 mars 2011 est subordonné à une condition ayant pour objet l'approbation du transfert des titres par D.________ SA. Elle se réfère à l' art. 685a al. 1 CO et aux clauses correspondantes des statuts de la société, ainsi qu'aux modalités textuellement convenues entre les cocontractants, relatives à la remise d'un procès-verbal de la décision d'approbation de ce transfert. Parce que la condition n'est prétendument pas accomplie, la défenderesse est d'avis que le contrat ne l'oblige pas et que le prix des actions n'est donc pas exigible.</w:t>
      </w:r>
    </w:p>
    <w:p>
      <w:r>
        <w:rPr>
          <w:b/>
        </w:rPr>
        <w:t>E. 4</w:t>
      </w:r>
    </w:p>
    <w:p>
      <w:r>
        <w:t>La cession d'actions d'une société anonyme en contrepartie d'un prix est une vente mobilière selon l' art. 187 al. 1 CO car les règles de la vente s'appliquent non seulement à l'aliénation des choses corporelles mais aussi à celle des droits, incorporés ou non dans des papiers-valeurs (Silvio Venturi et Marie-Noëlle Zen-Ruffinen, in Commentaire romand, 2e éd., n° 8 ad art. 184 CO ).</w:t>
      </w:r>
    </w:p>
    <w:p>
      <w:r>
        <w:t>L' art. 213 al. 1 CO dispose que sauf convention contraire, le prix de vente est exigible aussitôt que la chose est en possession de l'acheteur. A première vue, cette règle était applicable à chacune des tranches successives du prix, convenues entre les parties, et au lot d'actions correspondant. Selon l' art. 685c al. 1 CO , aussi longtemps que la société anonyme n'accorde pas l'approbation qui est, le cas échéant, nécessaire selon ses statuts, l'acheteur ne peut pas devenir propriétaire des actions nominatives à transférer; conformément à l'argumentation de la défenderesse, il s'ensuit que le prix de ces actions ne peut donc pas non plus devenir exigible.</w:t>
      </w:r>
    </w:p>
    <w:p>
      <w:r>
        <w:t>Le 6 mai 2010, soit près d'un an avant la conclusion du contrat présentement en cause, D.________ SA a formellement autorisé le demandeur à vendre la totalité de ses actions à la défenderesse, et celle-ci le sait depuis l'exécution du contrat du 7 juin 2010 qui portait sur 1'400 actions. L'approbation d'un transfert d'actions nominatives, par l'organe compétent d'une société anonyme, est un acte juridique formateur en tant qu'il confère à l'actionnaire transférant un pouvoir de disposer de ses titres dont il ne jouissait auparavant pas, et les actes formateurs sont en règle générale irrévocables (Ingeborg Schwenzer, Schweizerisches Obligationenrecht, Allgemeiner Teil, 7e éd., n° 3.09 p. 10; Alfred Koller, OR AT, 4e éd., n° 3.69 p. 56). On ne saurait exclure que dans la vie d'une société anonyme, des événements postérieurs à l'approbation d'un transfert d'actions soient éventuellement aptes à entraîner la caducité de cette approbation si le transfert tarde à s'accomplir. Néanmoins, en l'espèce, on ne trouve aucun événement de ce genre dans les constatations de fait déterminantes selon l' art. 105 al. 1 LTF . En particulier, la composition de l'actionnariat n'a pas été modifiée, sinon par l'entrée de V.________ SA qui était parfaitement informée de la situation. Par le seul écoulement du temps, l'approbation accordée le 6 mai 2010 n'a pas perdu sa validité ni cessé de déployer ses effets. Une nouvelle approbation par D.________ SA n'était donc pas nécessaire à la validité du contrat conclu le 16 mars 2011; elle n'était donc pas non plus nécessaire à l'exigibilité du prix de vente convenu.</w:t>
      </w:r>
    </w:p>
    <w:p>
      <w:r>
        <w:rPr>
          <w:b/>
        </w:rPr>
        <w:t>E. 5</w:t>
      </w:r>
    </w:p>
    <w:p>
      <w:r>
        <w:t>Pour le surplus, le Tribunal cantonal a interprété ce contrat au regard de l' art. 18 al. 1 CO . Il est parvenu à la conclusion que les cocontractants avaient pour réelle et commune intention de ne pas subordonner le versement du prix, par tranches successives, à la remise préalable d'un nouveau procès-verbal d'approbation du transfert des actions par D.________ SA. Les juges d'appel ont ainsi porté une constatation de fait qui lie le Tribunal fédéral selon l' art. 105 al. 1 LTF ( ATF 140 III 86 consid. 4.1 p. 91 relatif à l'interprétation des contrats). A l'appui du recours en matière civile, cette constatation n'est pas attaquée autrement que par simples protestations ou dénégations, irrecevables au regard de la jurisprudence ci-mentionnée relative à art. 97 al. 1 LTF . L'exigibilité du prix n'était donc subordonnée ni à une nouvelle approbation du transfert des actions selon l' art. 685a al. 1 CO , ni à une autre condition suspensive selon l' art. 151 CO , qui eût pour objet la remise d'un nouveau procès-verbal d'approbation. Ainsi, la défenderesse échoue à établir que le prix promis par elle n'est pas exigible.</w:t>
      </w:r>
    </w:p>
    <w:p>
      <w:r>
        <w:rPr>
          <w:b/>
        </w:rPr>
        <w:t>E. 6</w:t>
      </w:r>
    </w:p>
    <w:p>
      <w:r>
        <w:t>Le recours se révèle privé de fondement, dans la mesure où les moyens soulevés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