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4A_440/2015 vom 22. Februar 2016</w:t>
      </w:r>
    </w:p>
    <w:p>
      <w:r>
        <w:t>Bundesgericht, 2016-02-22, DE</w:t>
      </w:r>
    </w:p>
    <w:p>
      <w:r>
        <w:rPr>
          <w:b/>
        </w:rPr>
        <w:t xml:space="preserve">Quelle: </w:t>
      </w:r>
      <w:r>
        <w:t>https://mcp.opencaselaw.ch/entscheid/bger_4A_440_2015</w:t>
      </w:r>
    </w:p>
    <w:p>
      <w:r>
        <w:t>FR: TF 4A_440/2015 du 22 février 2016</w:t>
      </w:r>
    </w:p>
    <w:p>
      <w:r>
        <w:t>IT: TF 4A_440/2015 del 22 febbraio 2016</w:t>
      </w:r>
    </w:p>
    <w:p>
      <w:pPr>
        <w:pStyle w:val="Heading2"/>
      </w:pPr>
      <w:r>
        <w:t>Erwägungen</w:t>
      </w:r>
    </w:p>
    <w:p>
      <w:r>
        <w:rPr>
          <w:b/>
        </w:rPr>
        <w:t>E. 1</w:t>
      </w:r>
    </w:p>
    <w:p>
      <w:r>
        <w:t>Auf die beantragte Sistierung des Verfahrens 4A_440/2015 bis zur Erledigung des Verfahrens 4A_438/2015 wurde verzichtet. Die angeführte Begründung des Beschwerdeführers, wonach er sich damit auf einen Prozess konzentrieren könne, was kostensparend sei, rechtfertigt ein solches Vorgehen nicht (vgl. Art. 6 BZP [SR 273] in Verbindung mit Art. 71 BGG ).</w:t>
      </w:r>
    </w:p>
    <w:p>
      <w:r>
        <w:t>Die Beschwerden in den Verfahren 4A_438/2015 und 4A_440/2015 richten sich ausserdem nicht gegen dasselbe Anfechtungsobjekt und an den jeweiligen vorinstanzlichen Verfahren waren nicht dieselben Parteien beteiligt, weshalb entgegen dem eventualiter gestellten Verfahrensantrag des Beschwerdeführers auf eine Vereinigung der Beschwerdeverfahren verzichtet wird.</w:t>
      </w:r>
    </w:p>
    <w:p>
      <w:r>
        <w:rPr>
          <w:b/>
        </w:rPr>
        <w:t>E. 2</w:t>
      </w:r>
    </w:p>
    <w:p>
      <w:r>
        <w:t>Das Bundesgericht prüft von Amtes wegen und mit freier Kognition, ob ein Rechtsmittel zulässig ist ( Art. 29 Abs. 1 BGG ; BGE 140 IV 57 E. 2 S. 59; 139 III 133 E. 1 S. 133; je mit Hinweisen).</w:t>
      </w:r>
    </w:p>
    <w:p>
      <w:r>
        <w:rPr>
          <w:b/>
        </w:rPr>
        <w:t>E. 2.1</w:t>
      </w:r>
    </w:p>
    <w:p>
      <w:r>
        <w:t>Angefochten ist ein Endentscheid einer letzten kantonalen Instanz ( Art. 75 Abs. 1 und Art. 90 BGG ). Das Streitwerterfordernis ( Art. 74 Abs. 1 lit. b BGG ) ist erfüllt, der Beschwerdeführer hat ein schutzwürdiges Interesse an der Änderung des Entscheids über die Prozesskosten ( Art. 76 BGG ) und die Beschwerde ist innert der Beschwerdefrist eingereicht worden ( Art. 100 Abs. 1 BGG ).</w:t>
      </w:r>
    </w:p>
    <w:p>
      <w:r>
        <w:rPr>
          <w:b/>
        </w:rPr>
        <w:t>E. 2.2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w:t>
      </w:r>
    </w:p>
    <w:p>
      <w:r>
        <w:t>Der Eventualantrag, es seien nach Aufhebung von Dispositiv-Ziffer 1 Abs. 2 des angefochtenen Beschlusses die erstinstanzlichen Gerichtskosten dem Beschwerdegegner aufzuerlegen, der zudem zur Zahlung einer Parteientschädigung im festgesetzten Betrag zu verpflichten sei, genügt den Anforderungen an ein reformatorisches Rechtsbegehren. Nicht einzutreten ist hingegen auf die Beschwerde, soweit der Beschwerdeführer eventualiter rügt, bei der Festsetzung der Höhe der erstinstanzlichen Gerichtskosten sei das Äquivalenzprinzip missachtet und die Parteientschädigung an die Beschwerdegegnerin sei zu hoch angesetzt worden. Diesbezüglich geht auch aus der Beschwerdebegründung kein hinreichend bezifferter Eventualantrag hervor (vgl. Urteile 4A_341/2011 vom 21. März 2012 E. 6.2; 4A_164/2011 vom 10. November 2011 E. 1.3.2).</w:t>
      </w:r>
    </w:p>
    <w:p>
      <w:r>
        <w:t>Da ansonsten auch die übrigen Sachurteilsvoraussetzungen erfüllt sind, ist auf die Beschwerde in Zivilsachen unter Vorbehalt einer hinreichenden Begründung ( Art. 42 Abs. 2 und Art. 106 Abs. 2 BGG ) einzutreten.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2.4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2.5</w:t>
      </w:r>
    </w:p>
    <w:p>
      <w:r>
        <w:t>Der Beschwerdeführer verkennt diese Grundsätze in verschiedener Hinsicht. Er stellt seinen rechtlichen Vorbringen eine ausführliche Sachverhaltsdarstellung voran, in der er unter Hinweis auf zahlreiche Aktenstücke des kantonalen Verfahrens den Ablauf und die Hintergründe des Verfahrens aus eigener Sicht schildert und dabei verschiedentlich von den tatsächlichen Feststellungen der Vorinstanz abweicht oder diese erweitert, ohne substanziiert Ausnahmen von der Sachverhaltsbindung geltend zu machen. Die entsprechenden Ausführungen haben unbeachtet zu bleiben.</w:t>
      </w:r>
    </w:p>
    <w:p>
      <w:r>
        <w:rPr>
          <w:b/>
        </w:rPr>
        <w:t>E. 3</w:t>
      </w:r>
    </w:p>
    <w:p>
      <w:r>
        <w:t>Der Beschwerdeführer wirft der Vorinstanz eine ungerechte und willkürliche ( Art. 9 BV ) Verteilung der Prozesskosten vor und rügt diesbezüglich eine ungleiche Behandlung der Parteien ( Art. 8 BV ).</w:t>
      </w:r>
    </w:p>
    <w:p>
      <w:r>
        <w:rPr>
          <w:b/>
        </w:rPr>
        <w:t>E. 3.1</w:t>
      </w:r>
    </w:p>
    <w:p>
      <w:r>
        <w:t>Die Vorinstanz führte hinsichtlich der Prozesskosten aus, werde das Verfahren infolge Gegenstandslosigkeit abgeschrieben, seien die Prozesskosten nach Ermessen des Gerichts zu verteilen ( Art. 107 Abs. 1 lit. e ZPO [SR 272]). Dabei sei im konkreten Einzelfall zu berücksichtigen, welche Partei Anlass zur Klage gegeben habe, welches der mutmassliche Prozessausgang gewesen wäre, bei welcher Partei die Gründe eingetreten seien, die zur Gegenstandslosigkeit führten, und welche Partei unnötigerweise Kosten verursacht habe.</w:t>
      </w:r>
    </w:p>
    <w:p>
      <w:r>
        <w:t>Anlass zur negativen Feststellungsklage habe die vom Beschwerdeführer eingereichte Betreibung des Beschwerdegegners über einen namhaften Betrag gegeben. Unter Annahme eines hinreichenden Feststellungsinteresses hätte die Klage aufgrund einer summarischen Prüfung gutgeheissen werden müssen. Der Beschwerdeführer habe seine angeblichen Teilforderungen weitgehend unsubstanziiert vorgetragen; die Ausführungen seien teilweise widersprüchlich und nicht rechtsgenügend nachgewiesen. Die erstinstanzliche Feststellung des Nichtbestehens der betriebenen Forderung erweise sich damit als mutmasslich zu erwartender Prozessausgang. Hingegen sei es dem Beschwerdegegner zuzuschreiben, dass er sein Feststellungsinteresse lediglich auf den Betreibungsregisterauszug gestützt habe, ohne weitere Gründe für ein Rechtsschutzinteresse anzufügen; damit sei er das Risiko eingegangen, durch Zeitablauf sein Rechtsschutzinteresse zu verlieren, zumal er nach der Ausstellung des Zahlungsbefehls fast drei Jahre mit der Einleitung der Klage zugewartet habe. Während des Verfahrens hätten beide Parteien den Zeitablauf mit diversen zum Teil sehr ausführlichen Rechtsschriften und etlichen Fristerstreckungsbegehren in etwa gleichem Masse verursacht. Aus diesen Gründen rechtfertige es sich, die Prozesskosten des Berufungsverfahrens dem Beschwerdegegner und diejenigen des erstinstanzlichen Verfahrens dem Beschwerdeführer aufzuerlegen.</w:t>
      </w:r>
    </w:p>
    <w:p>
      <w:r>
        <w:rPr>
          <w:b/>
        </w:rPr>
        <w:t>E. 3.2.1</w:t>
      </w:r>
    </w:p>
    <w:p>
      <w:r>
        <w:t>Der Beschwerdeführer stellt die von der Vorinstanz verwendeten Kriterien der Verteilung der Prozesskosten ( Art. 107 Abs. 1 lit. e ZPO ) im Falle der Abschreibung des Verfahrens als gegenstandslos ( Art. 242 ZPO ) zu Recht nicht grundsätzlich in Frage (vgl. Urteil 5A_885/2014 vom 19. März 2015 E. 2.4 mit Hinweis auf die Botschaft vom 28. Juni 2006 zur Schweizerischen Zivilprozessordnung, BBl 2006 7297 Ziff. 5.8.2 zu Art. 105 E-ZPO). Er zeigt keine Bundesrechtsverletzung, geschweige denn Willkür ( Art. 9 BV ) auf, indem er lediglich in appellatorischer Weise vorbringt, der Beschwerdegegner habe selbst Anstoss zur Betreibung gegeben, indem er sich geweigert habe, seiner Rechenschafts- und Herausgabepflicht nachzukommen und auf die Erhebung der Verjährungseinrede zu verzichten sowie dem Beschwerdegegner "obstruktives Verhalten" bzw. "eine reine und unbegreifliche und durch nichts gerechtfertigte Schikane" vorwirft.</w:t>
      </w:r>
    </w:p>
    <w:p>
      <w:r>
        <w:rPr>
          <w:b/>
        </w:rPr>
        <w:t>E. 3.2.2</w:t>
      </w:r>
    </w:p>
    <w:p>
      <w:r>
        <w:t>Unbegründet ist zudem der Vorwurf, es könne nicht sein, dass der Beschwerdeführer im zweitinstanzlichen Verfahren gewinne und dafür eine Parteientschädigung erhalte, die bei weitem tiefer sei als diejenige, welche dem Beschwerdegegner für das erstinstanzliche Verfahren zugesprochen werde. Die Vorinstanz hat nachvollziehbar begründet, dass die vom Beschwerdeführer erhobene Berufung aufgrund der Gegenstandslosigkeit des Verfahrens zwar im Ergebnis durchdringe, dass jedoch die Klage (aufgrund einer summarischen Prüfung) wohl hätte gutgeheissen werden müssen, womit diese im erstinstanzlichen Verfahren zu Recht geschützt worden war. Entsprechend erscheint es folgerichtig, die Prozesskosten des erstinstanzlichen Verfahrens dem Beschwerdeführer und diejenigen des Berufungsverfahrens dem Beschwerdegegner aufzuerlegen. Dass die Höhe der Kosten des erstinstanzlichen Verfahrens und des Rechtsmittelverfahrens je unterschiedlich ausfallen können, liegt in der Natur der Sache. Entgegen der in der Beschwerde vertretenen Ansicht kann im blossen Umstand der unterschiedlichen Höhe der Gerichtskosten im erstinstanzlichen und im zweitinstanzlichen Verfahren keine rechtsungleiche ( Art. 8 BV ) Behandlung der Parteien erblickt werden.</w:t>
      </w:r>
    </w:p>
    <w:p>
      <w:r>
        <w:rPr>
          <w:b/>
        </w:rPr>
        <w:t>E. 3.2.3</w:t>
      </w:r>
    </w:p>
    <w:p>
      <w:r>
        <w:t>Der Beschwerdeführer bringt weiter vor, die Prozessvoraussetzungen für die negative Feststellungsklage nach Art. 85a SchKG wie auch das Feststellungsinteresse für eine allgemeine negative Feststellungsklage hätten entgegen dem angefochtenen Entscheid bereits im erstinstanzlichen Verfahren gefehlt, weshalb die Erstinstanz auf die Klage nicht hätte eintreten dürfen. Er wirft der Vorinstanz zu Unrecht vor, sie hätte das Klagebegehren, das auf die Feststellung des Nichtbestehens der in Betreibung gesetzten Forderung und auf die Löschung der Betreibung lautete, ausschliesslich nach Art. 85a SchKG beurteilen dürfen. Die Vorinstanz erwog zutreffend, dass das betreffende Begehren sowohl Gegenstand einer betreibungsrechtlichen als auch einer allgemeinen negativen Feststellungsklage sein könne und das Gericht die massgebende Rechtsgrundlage nach Art. 57 ZPO von Amtes wegen zu prüfen habe, ohne dabei an die rechtliche Qualifikation des Klägers gebunden zu sein. Eine Verletzung der Dispositionsmaxime liegt entgegen der in der Beschwerde vertretenen Ansicht nicht vor.</w:t>
      </w:r>
    </w:p>
    <w:p>
      <w:r>
        <w:t>Soweit der Beschwerdeführer vorbringt, die Eintretensvoraussetzungen einer ordentlichen Feststellungsklage seien nicht erfüllt gewesen, sind seine Ausführungen rein appellatorisch, indem er dem Bundesgericht unter Verweis auf verschiedene Beweisstücke des kantonalen Verfahrens seine Sicht der Dinge unterbreitet, wonach es an einem Feststellungsinteresse gefehlt habe. Zudem verfehlt er die Begründungsanforderungen an eine hinreichende Gehörsrüge ( Art. 106 Abs. 2 BGG ), wenn er in allgemeiner Weise und ohne Aktenhinweise behauptet, er habe "gleich mehrere Gründe aufgeführt", weshalb es an dieser Prozessvoraussetzung gefehlt habe.</w:t>
      </w:r>
    </w:p>
    <w:p>
      <w:r>
        <w:rPr>
          <w:b/>
        </w:rPr>
        <w:t>E. 3.2.4</w:t>
      </w:r>
    </w:p>
    <w:p>
      <w:r>
        <w:t>Appellatorisch sind auch die Ausführungen in der Beschwerde unter dem Titel "Fehlende Durchführung der Hauptverhandlung", in denen der Beschwerdeführer ohne Bezug zu den Feststellungen im angefochtenen Entscheid behauptet, er habe nur unter bestimmten Bedingungen auf eine Hauptverhandlung verzichtet und bei deren Einhaltung hätte "mit Sicherheit bis am 10. Juni 2014" (d.h. dem Tag vor dem von der Vorinstanz angenommenen Zeitpunkt des Erlöschens des Einsichtsrechts Dritter) kein Urteil ergehen können. Abgesehen davon zeigt er nicht einmal für diesen Fall auf, inwiefern der Vorinstanz eine Verletzung der massgebenden Bestimmungen über die Verteilung der Prozesskosten (Art. 106 f. ZPO) vorzuwerfen wäre.</w:t>
      </w:r>
    </w:p>
    <w:p>
      <w:r>
        <w:t>Letzteres gilt auch für die Ausführungen unter dem Titel "Ermessensmissbrauch", in denen er verschiedene seiner Vorbringen, die sich als nicht stichhaltig erwiesen haben, wiederholt und ohne Bezug zu den vorinstanzlichen Erwägungen behauptet, der Beschwerdegegner sei als alleiniger Kostenverursacher zu betrachten.</w:t>
      </w:r>
    </w:p>
    <w:p>
      <w:r>
        <w:rPr>
          <w:b/>
        </w:rPr>
        <w:t>E. 4</w:t>
      </w:r>
    </w:p>
    <w:p>
      <w:r>
        <w:t>Die Beschwerde erweist sich als unbegründet und ist abzuweisen, soweit darauf eingetreten werden kann. Dem Ausgang des Verfahrens entsprechend wird der Beschwerdeführer kostenpflichtig ( Art. 66 Abs. 1 BGG ). Der Beschwerdegegner, der sich mit der Erteilung der aufschiebenden Wirkung einverstanden erklärte und dem Bundesgericht seine Beschwerdeantwort unaufgefordert einreichte,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