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4A_440/2011 vom 21. Oktober 2011</w:t>
      </w:r>
    </w:p>
    <w:p>
      <w:r>
        <w:t>Bundesgericht, 2011-10-21, FR</w:t>
      </w:r>
    </w:p>
    <w:p>
      <w:r>
        <w:rPr>
          <w:b/>
        </w:rPr>
        <w:t xml:space="preserve">Quelle: </w:t>
      </w:r>
      <w:r>
        <w:t>https://mcp.opencaselaw.ch/entscheid/bger_4A_440_2011</w:t>
      </w:r>
    </w:p>
    <w:p>
      <w:r>
        <w:t>FR: TF 4A_440/2011 du 21 octobre 2011</w:t>
      </w:r>
    </w:p>
    <w:p>
      <w:r>
        <w:t>IT: TF 4A_440/2011 del 21 ottobre 2011</w:t>
      </w:r>
    </w:p>
    <w:p>
      <w:pPr>
        <w:pStyle w:val="Heading2"/>
      </w:pPr>
      <w:r>
        <w:t>Erwägungen</w:t>
      </w:r>
    </w:p>
    <w:p>
      <w:r>
        <w:rPr>
          <w:b/>
        </w:rPr>
        <w:t>E. 1</w:t>
      </w:r>
    </w:p>
    <w:p>
      <w:r>
        <w:t>L'ordre d'exécution anticipée du jugement de première instance est une mesure provisionnelle, prise au cours de la procédure d'appel, dont les effets sont limités à la durée de cette même procédure et de celle d'un éventuel recours ultérieur; il s'agit donc d'une décision incidente assujettie à l' art. 93 al. 1 LTF ( ATF 134 I 83 consid. 3.1 p. 86/87; arrêt 4A_178/2011 du 28 juin 2011, destiné à la publication, consid. 1.1). La recevabilité du recours en matière civile suppose que cette décision soit de nature à causer un préjudice irréparable aux termes de l' art. 93 al. 1 let. a LTF ; la recevabilité du recours constitutionnel est soumise à la même exigence par le renvoi de l' art. 117 LTF .</w:t>
      </w:r>
    </w:p>
    <w:p>
      <w:r>
        <w:rPr>
          <w:b/>
        </w:rPr>
        <w:t>E. 2</w:t>
      </w:r>
    </w:p>
    <w:p>
      <w:r>
        <w:t>Selon la jurisprudence relative à ladite exigence,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134 III 188 consid. 2.2 p. 191; 133 III 629 consid. 2.3.1 p. 632; 131 I 57 consid. 1 p. 59). Il incombe à la partie recourante d'indiquer de manière détaillée en quoi elle se trouve menacée d'un préjudice juridique irréparable par la décision de mesures provisionnelles qu'elle conteste; à défaut, le recours est irrecevable (arrêt déjà cité 4A_178/2011, ibidem).</w:t>
      </w:r>
    </w:p>
    <w:p>
      <w:r>
        <w:t>Le défendeur se prétend exposé à un préjudice irréparable en ceci qu'il devra déposer peut-être inutilement, devant le Tribunal de première instance, un mémoire de réponse sur le fond, et qu'il devra peut-être, aussi inutilement, subir l'incommodité et les frais d'un voyage à Genève dans l'éventualité où le juge instructeur ordonnerait un interrogatoire personnel des parties. Or, ces inconvénients sont purement et exclusivement matériels plutôt que juridiques, et, selon la jurisprudence précitée, ils sont dépourvus de pertinence au regard de l' art. 93 al. 1 let. a LTF . Il s'ensuit que le recours en matière civile et le recours constitutionnel sont l'un et l'autre irrecevables.</w:t>
      </w:r>
    </w:p>
    <w:p>
      <w:r>
        <w:rPr>
          <w:b/>
        </w:rPr>
        <w:t>E. 3</w:t>
      </w:r>
    </w:p>
    <w:p>
      <w:r>
        <w:t>A titre de partie qui succombe, le défendeur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