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4A_440/2007 vom 6. Februar 2008</w:t>
      </w:r>
    </w:p>
    <w:p>
      <w:r>
        <w:t>Bundesgericht, 2008-02-06, DE</w:t>
      </w:r>
    </w:p>
    <w:p>
      <w:r>
        <w:rPr>
          <w:b/>
        </w:rPr>
        <w:t xml:space="preserve">Quelle: </w:t>
      </w:r>
      <w:r>
        <w:t>https://mcp.opencaselaw.ch/entscheid/bger_4A_440_2007</w:t>
      </w:r>
    </w:p>
    <w:p>
      <w:r>
        <w:t>FR: TF 4A_440/2007 du 6 février 2008</w:t>
      </w:r>
    </w:p>
    <w:p>
      <w:r>
        <w:t>IT: TF 4A_440/2007 del 6 febbraio 2008</w:t>
      </w:r>
    </w:p>
    <w:p>
      <w:pPr>
        <w:pStyle w:val="Heading2"/>
      </w:pPr>
      <w:r>
        <w:t>Erwägungen</w:t>
      </w:r>
    </w:p>
    <w:p>
      <w:r>
        <w:rPr>
          <w:b/>
        </w:rPr>
        <w:t>E. 1.1</w:t>
      </w:r>
    </w:p>
    <w:p>
      <w:r>
        <w:t>Das Bundesgericht prüft von Amtes wegen und mit freier Kognition, ob ein Rechtsmittel zulässig ist ( BGE 132 III 291 E. 1).</w:t>
      </w:r>
    </w:p>
    <w:p>
      <w:r>
        <w:rPr>
          <w:b/>
        </w:rPr>
        <w:t>E. 1.1.1</w:t>
      </w:r>
    </w:p>
    <w:p>
      <w:r>
        <w:t>Auch die übrigen Sachurteilsvoraussetzungen sind erfüllt. Somit ist auf die Beschwerde grundsätzlich einzutreten.</w:t>
      </w:r>
    </w:p>
    <w:p>
      <w:r>
        <w:rPr>
          <w:b/>
        </w:rPr>
        <w:t>E. 1.1.2</w:t>
      </w:r>
    </w:p>
    <w:p>
      <w:r>
        <w:t>In vermögensrechtlichen Angelegenheiten ist die Beschwerde in Zivilsachen - unter Vorbehalt arbeits- und mietrechtlicher Fälle ( Art. 74 Abs. 1 lit. a BGG ) sowie der Ausnahmen von Art. 74 Abs. 2 BGG - nur zulässig, wenn der Streitwert mindestens Fr. 30'000.-- beträgt ( Art. 74 Abs. 1 lit. b BGG ).</w:t>
      </w:r>
    </w:p>
    <w:p>
      <w:r>
        <w:t>Der Streitwert bestimmt sich bei Beschwerden gegen Vor- und Zwischenentscheide nach den Begehren, die vor der Instanz streitig sind, wo die Hauptsache hängig ist ( Art. 51 Abs. 1 lit. c BGG ). Das Rechtsbegehren in der Hauptsache lautet vorliegend auf Bezahlung einer gerichtlich festzulegenden angemessenen Ausgleichszahlung gemäss Art. 105 FusG . Nach Art. 105 Abs. 2 FusG hat das Urteil Wirkung für alle Gesellschafter des beteiligten Rechtsträgers, sofern sie sich in der gleichen Rechtsstellung wie der Kläger befinden. Als Folge dieser Erstreckung der Urteilswirkung auf die nicht klagenden Gesellschafter bemisst sich der Streitwert aus Sicht der Gesellschaft, d.h. er richtet sich nach dem Gesamtbetrag, den das Gericht als Ausgleichszahlung festsetzen soll. Als Streitwert gilt somit der Betrag, den die beklagte Gesellschaft im Fall ihres Unterliegens sämtlichen Gesellschaftern zu bezahlen hätte (Paul Bürgi/Lukas Glanzmann, Stämpflis Handkommentar, N. 25 zu Art. 105 FusG ; Felix C. Meier-Dieterle, Zürcher Kommentar, N. 52 zu Art. 105 FusG ). Als Korrektiv dafür, dass der Kläger auch die Rechte der nicht klagenden Gesellschafter verfolgen muss und sich demzufolge der Streitwert massiv erhöhen kann, findet sich in Art. 105 Abs. 3 FusG eine spezielle Kostenfolge zulasten der übernehmenden Gesellschaft (vgl. Daniel Emch, System des Rechtsschutzes im Fusionsgesetz, Diss. Bern 2006, S. 163).</w:t>
      </w:r>
    </w:p>
    <w:p>
      <w:r>
        <w:t>Der Beschwerdegegner beantragt in seinem Eventualbegehren, die Beschwerdeführerin zu verpflichten, ihm insgesamt eine Ausgleichszahlung von Fr. 29'400.-- zu bezahlen. Da bei einem Obsiegen des Beschwerdegegners mit den drei Nebenintervenienten mindestens drei weitere Gesellschafter in gleicher Rechtsstellung wie der Beschwerdegegner in den Genuss von Ausgleichszahlungen kommen würden, beläuft sich der Streitwert vorliegend auf über Fr. 30'000.--.</w:t>
      </w:r>
    </w:p>
    <w:p>
      <w:r>
        <w:rPr>
          <w:b/>
        </w:rPr>
        <w:t>E. 1.2</w:t>
      </w:r>
    </w:p>
    <w:p>
      <w:r>
        <w:t>Die vom Beschwerdegegner nach Ablauf der Vernehmlassungsfrist eingereichte Ergänzung seiner Vernehmlassung vom 29. Dezember 2007 sowie die dazu eingereichte Stellungnahme der Beschwerdeführerin vom 17. Januar 2008 sind als unzulässige Ergänzungen unbeachtlich.</w:t>
      </w:r>
    </w:p>
    <w:p>
      <w:r>
        <w:rPr>
          <w:b/>
        </w:rPr>
        <w:t>E. 2</w:t>
      </w:r>
    </w:p>
    <w:p>
      <w:r>
        <w:t>Streitig ist vorliegend einzig, ob der Bewertungsbericht der Z.________ AG vom 10. November 2005 dem Beschwerdegegner und den Nebenintervenienten im Klageverfahren nach Art. 105 FusG zur Einsicht offen zu legen sei.</w:t>
      </w:r>
    </w:p>
    <w:p>
      <w:r>
        <w:rPr>
          <w:b/>
        </w:rPr>
        <w:t>E. 2.1</w:t>
      </w:r>
    </w:p>
    <w:p>
      <w:r>
        <w:t>Dies bejahte die Vorinstanz im Wesentlichen mit der Begründung, Art. 160 Abs. 1 ZPO /GR schreibe vor, dass der Gerichtspräsident die notwendigen Schutzmassnahmen anordne, wenn bei der Erhebung von Beweismitteln schutzwürdige Interessen oder Geschäftsgeheimnisse gefährdet würden. Nach Art. 171 Abs. 2 ZPO /GR könne der Gerichtspräsident selbst oder ein von ihm bezeichneter Sachverständiger beim Inhaber der Urkunde in diese Einsicht nehmen, wenn durch die Herausgabe von Urkunden an das Gericht Interessen i.S.v. Art. 160 ZPO /GR verletzt würden. Grundsätzlich stünden alle Prozessakten den Parteien zur Einsicht offen ( Art. 89 ZPO /GR). Zur vorzunehmenden Interessenabwägung zwischen dem Geheimhaltungsinteresse des Urkundeninhabers einerseits und dem Bedürfnis des Prozessgegners nach Offenbarung andererseits habe die prozessrechtliche Praxis festgehalten, dass die Parteirechte im Zivilprozess und insbesondere das aus Art. 29 BV fliessende Akteneinsichtsrecht nicht leichthin eingeschränkt werden sollten. In Bezug auf den materiell-rechtlich verankerten Informationsanspruch des Aktionärs gemäss Art. 697 OR habe das Bundesgericht zu den Anforderungen an die Substantiierung und den Beweis eines entgegenstehenden Geheimhaltungsanspruchs der Gesellschaft festgehalten, dass es nicht genüge, lediglich zu behaupten, eine bestimmte Information gehöre zur Geheimsphäre der Gesellschaft. Während der Beschwerdegegner dargetan habe, weshalb das Bewertungsgutachten offen zu legen sei, habe die Beschwerdeführerin nicht ausgeführt, welcher Art und Ausprägung ihre entgegenstehenden Geheimhaltungsinteressen seien. Sie sei ihrer Pflicht zur Substantiierung und zur Glaubhaftmachung bzw. zum Beweis, dass in der streitgegenständlichen Editionsunterlage schützenswerte Geschäftsgeheimnisse vorliegen würden, nicht nachgekommen. Demnach lasse sich eine Abwägung der gegensätzlichen Interessen von vornherein gar nicht bewerkstelligen. Infolge mangelnder Substantiierung des schutzwürdigen Geheimhaltungsinteresses erübrige es sich auch, von der Möglichkeit Gebrauch zu machen, vorab vom Inhalt der Urkunde Kenntnis zu nehmen und gestützt darauf zu entscheiden, ob schützenswerte Geheimhaltungsinteressen vorliegen würden. Die Beschwerdeführerin beharre unspezifiziert darauf, dass jede Unternehmensbewertung integral ein nicht zu offenbarendes Geschäftsgeheimnis darstellen würde. Diese Behauptung könne bereits in antizipierter Beweiswürdigung als falsch abgetan werden, da im Bewertungsgutachten unter anderem die letzten Jahresabschlüsse, das Resultat der Bewertung und andere Angaben stünden, welche die betroffenen Aktionäre auch dem abgegebenen Fusionsbericht entnehmen könnten.</w:t>
      </w:r>
    </w:p>
    <w:p>
      <w:r>
        <w:rPr>
          <w:b/>
        </w:rPr>
        <w:t>E. 2.2</w:t>
      </w:r>
    </w:p>
    <w:p>
      <w:r>
        <w:t>Die Beschwerdeführerin rügt sinngemäss eine Verletzung des Fusionsgesetzes, indem sie vorbringt, dieses sehe die Edition einer Unternehmensbewertung nicht mehr von den Aktionärsinteressen getragen. Die Vorinstanz habe den Streitgegenstand zu Unrecht ausschliesslich aus einem zivilprozessualen Blickwinkel beurteilt und die dienende Rolle des Zivilprozessrechts im Verhältnis zum materiellen Recht ausser Acht gelassen. Das Fusionsgesetz verpflichte die Gesellschaft, die für den Aktionär zur Beurteilung der Fusion notwendigen Informationen offen zu legen. Zu diesem Zweck sei unter anderem ein Fusionsbericht zu erstellen ( Art. 14 FusG ), in dem den Aktionären die für die Fusion relevanten Informationen aufbereitet würden. Das Einsichtsrecht der Gesellschafter der an der Fusion beteiligten Gesellschaften beziehe sich auf die in Art. 16 FusG genannten Unterlagen. Der Bewertungsbericht werde in Art. 16 FusG gerade nicht als Dokument bezeichnet, in das den Aktionären Einsicht zu gewähren sei. Die Herausgabe des Bewertungsberichts sei daher nicht mehr von den Informationsinteressen der Gesellschafter getragen. In einer Unternehmensbewertung stünden abgesehen von detaillierten Zahlen zu den einzelnen Geschäftsbereichen unter anderem Ideen und Konzepte zu neueren technischen Entwicklungen, zu Investitionen und zu der umfassenden strategischen Stossrichtung. Durch die detaillierten Angaben im Fusionsbericht erhalte der Aktionär alle notwendigen Informationen, um die Fusion zu beurteilen und allenfalls eine Überprüfungsklage rechtsgenüglich zu substantiieren. Die Einsicht in den Bewertungsbericht sei dazu weder notwendig noch vom Gesetz vorgesehen. Zusammenfassend behandle das Fusionsgesetz ein Bewertungsgutachten als schutzwürdiges Geschäftsgeheimnis. Art. 160 Abs. 1 ZPO /GR besage, dass wenn bei der Erhebung von Beweismitteln schutzwürdige Interessen oder Geschäftsgeheimnisse gefährdet werden, der Gerichtspräsident Schutzmassnahmen anordne, weshalb vorliegend das Bewertungsgutachten dem Beschwerdegegner nicht offen gelegt werden dürfe.</w:t>
      </w:r>
    </w:p>
    <w:p>
      <w:r>
        <w:rPr>
          <w:b/>
        </w:rPr>
        <w:t>E. 2.3</w:t>
      </w:r>
    </w:p>
    <w:p>
      <w:r>
        <w:t>Die Bestimmung von Art. 14 FusG zum Fusionsbericht bezweckt in erster Linie, den Gesellschaftern die erforderlichen Informationen als Entscheidgrundlage für eine sachgerechte Beschlussfassung über die beantragte Fusion zur Verfügung zu stellen (Botschaft zum Bundesgesetz über Fusion, Spaltung, Umwandlung und Vermögensübertragung vom 13. Juni 2000, BBl 2000 4337 ff., 4410; Beat Kühni, Basler Kommentar, N. 5 zu Art. 14 FusG ). Die obersten Leitungs- oder Verwaltungsorgane der an der Fusion beteiligten Gesellschaften müssen einen schriftlichen Bericht über die Fusion erstellen, in dem insbesondere das Umtauschverhältnis für Anteile zu erläutern und zu begründen ist ( Art. 14 Abs. 3 lit. c FusG ). In der Lehre wird die Meinung vertreten, eine integrale Offenlegung des Bewertungsgutachens im Fusionsbericht zur Erläuterung der Umtauschverhältnisse sei vom Informationsinteresse der Gesellschafter nicht mehr gedeckt und für die Plausibilitätskontrolle der Gesellschafter im Hinblick auf die Beschlussfassung über die Fusion auch nicht erforderlich (Albert Comboeuf, Stämpflis Handkommentar, N. 27 zu Art. 14 FusG ; Beat Kühni, a.a.O., N. 47e zu Art. 14 FusG ).</w:t>
      </w:r>
    </w:p>
    <w:p>
      <w:r>
        <w:t>Art. 16 FusG regelt die gesellschaftsinterne Offenlegung der wesentlichen Unterlagen zur Fusion vor der Beschlussfassung durch die Generalversammlung. Nach dieser Bestimmung muss jede der an der Fusion beteiligten Gesellschaften den Gesellschaftern während der 30 Tage vor der Beschlussfassung Einsicht in verschiedene Unterlagen (Fusionsvertrag, Fusionsbericht, Prüfungsbericht, Jahresrechnungen und Jahresberichte der letzten drei Geschäftsjahre sowie gegebenenfalls Zwischenbilanz) aller an der Fusion beteiligten Gesellschaften gewähren. Das Einsichtsrecht nach Art. 16 FusG gewährleistet die innergesellschaftliche Transparenz des Fusionsverfahrens und soll der Willensbildung der Gesellschafter im Hinblick auf die Beschlussfassung über die Fusion an der Generalversammlung dienen (Botschaft, a.a.O., S. 4415). Art. 16 FusG regelt demnach nicht das Einsichtsrecht im Stadium der Überprüfungsklage gemäss Art. 105 FusG nach erfolgter Beschlussfassung über die Fusion. Entgegen den Ausführungen der Beschwerdeführerin kann aus Art. 14 und 16 FusG auch nicht abgeleitet werden, das Fusionsgesetz behandle ein Bewertungsgutachten generell als schutzwürdiges Geschäftsgeheimnis.</w:t>
      </w:r>
    </w:p>
    <w:p>
      <w:r>
        <w:rPr>
          <w:b/>
        </w:rPr>
        <w:t>E. 2.4</w:t>
      </w:r>
    </w:p>
    <w:p>
      <w:r>
        <w:t>Nach Art. 105 Abs. 1 FusG kann jeder Gesellschafter innerhalb von zwei Monaten nach der Veröffentlichung des Fusionsberichts verlangen, dass das Gericht eine angemessene Ausgleichszahlung festsetzt, wenn bei der Fusion die Anteils- oder Mitgliedschaftsrechte nicht angemessen gewahrt sind oder die Abfindung nicht angemessen ist. In der Literatur wird postuliert, dass an die Substantiierung bei der Klage nach Art. 105 FusG keine zu hohen Anforderungen gestellt werden dürfen (Felix C. Meier-Dieterle, a.a.O., N. 46 zu Art. 105 FusG ; Daniel Emch, a.a.O., S. 153; Karin Eugster, Die Überprüfung der Anteils- und Mitgliedschaftsrechte nach Art. 105 FusG , Diss. Zürich 2006, S. 147 Rz. 372). Die klagende Partei trägt nach Art. 8 ZGB die Beweislast für das Vorliegen der Tatbestandsvoraussetzungen von Art. 105 Abs. 1 FusG (Felix C. Meier-Dieterle, a.a.O., N. 46 zu Art. 105 FusG ; Daniel Emch, a.a.O., S. 151; Karin Eugster, a.a.O., S. 146 Rz. 370) und das Beweismass ist jenes der strikten Beweisführung (Daniel Emch, a.a.O., S. 154). Demnach muss es der klagenden Partei möglich sein, den Beweis mit allen Beweismitteln zu führen (vgl. Karin Eugster, a.a.O., S. 148 Rz. 374); grundsätzlich auch mit dem Bewertungsbericht, muss sich der Aktionär doch im Klageverfahren nicht mehr mit einer blossen Plausibilitätsprüfung zufriedengeben.</w:t>
      </w:r>
    </w:p>
    <w:p>
      <w:r>
        <w:rPr>
          <w:b/>
        </w:rPr>
        <w:t>E. 2.5</w:t>
      </w:r>
    </w:p>
    <w:p>
      <w:r>
        <w:t>Aus dem Fusionsgesetz lässt sich demnach nicht herleiten, dass die Edition des Bewertungsberichts im Klageverfahren nach Art. 105 FusG grundsätzlich unzulässig wäre und es sich bei der Unternehmensbewertung um ein integral nicht zu offenbarendes Geschäftsgeheimnis handeln würde. Dies bedeutet indes nicht, dass die Beschwerdeführerin im Bewertungsbericht enthaltene Geschäftsgeheimnisse im Verfahren nach Art. 105 FusG nicht schützen lassen könnte. Wie die Vorinstanz zu Recht ausgeführt hat, ist bei einem Editionsbegehren eine Interessenabwägung vorzunehmen, wenn sich die herausgabepflichtige Partei auf Geheimhaltungsinteressen beruft. Diese hat jedoch hinreichend zu substantiieren, inwiefern solche geheimzuhaltende Informationen vorliegen. Dieser Pflicht ist die Beschwerdeführerin gemäss den vorinstanzlichen Ausführungen nicht nachgekommen. Sie macht vor Bundesgericht zudem nicht geltend, die Vorinstanz wäre zu Unrecht davon ausgegangen, sie habe nicht substantiiert dargelegt, dass der Bewertungsbericht der Z.________ AG schützenswerte Geschäftsgeheimnisse enthalte. Auch rügt sie keine willkürliche Anwendung von Art. 160 Abs. 1 i.V.m. Art. 171 ZPO /GR.</w:t>
      </w:r>
    </w:p>
    <w:p>
      <w:r>
        <w:t>Die Beschwerdeführerin hat somit den Bewertungsbericht der Z.________ AG vom 10. November 2005 dem Beschwerdegegner und den Nebenintervenienten im Klageverfahren nach Art. 105 FusG zur Einsicht offenzulegen.</w:t>
      </w:r>
    </w:p>
    <w:p>
      <w:r>
        <w:rPr>
          <w:b/>
        </w:rPr>
        <w:t>E. 3</w:t>
      </w:r>
    </w:p>
    <w:p>
      <w:r>
        <w:t>Aus diesen Gründen ist die Beschwerde abzuweisen. Bei diesem Verfahrensausgang wird die Beschwerdeführerin kostenpflichtig ( Art. 66 Abs. 1 BGG ). Ob die Sonderregel von Art. 105 Abs. 3 FusG , wonach der übernehmende Rechtsträger die Kosten des Verfahrens trägt, auch im bundesgerichtlichen Verfahren gilt, kann demnach offen bleiben (vgl. Peter Böckli, Schweizer Aktienrecht, 3. Aufl., Zürich 2004, § 3 N. 264, S. 356 f.; Daniel Emch, a.a.O., S. 167). Der Beschwerdegegner ist nicht anwaltlich vertreten, weshalb ihm gemäss der bundesgerichtlichen Praxis keine Parteientschädigung zuzusprechen ist ( Art. 68 Abs. 1 und 2 BGG ; BGE 133 III 439 E. 4 S. 446 mit Hinweis).</w:t>
      </w:r>
    </w:p>
    <w:p>
      <w:r>
        <w:t>Die Nebenintervenienten, welche die Abweisung der Beschwerde unter Kosten- und Entschädigungsfolgen beantragten, obsiegen mit dem Beschwerdegegner. Das Bundesgericht befindet nach seinem Ermessen über die Berücksichtigung der Nebenintervenienten im Kosten- und Entschädigungspunkt ( Art. 71 BGG i.V.m. Art. 69 Abs. 2 BZP ). Da das Urteil in der Hauptsache nach Art. 105 Abs. 2 FusG auch Wirkung für die Nebenintervenienten als Gesellschafter des beteiligten Rechtsträgers in der gleichen Rechtsstellung wie der Beschwerdegegner entfaltet, nehmen sie mit ihrer Teilnahme am Prozess Interessen wahr, die im Rechtsverhältnis zwischen ihnen und der Beschwerdeführerin begründet sind. Es rechtfertigt sich daher, ihnen einen Anspruch gegenüber der Beschwerdeführerin auf Ersatz ihrer Parteikosten einzuräumen (vgl. BGE 130 III 571 E. 6 S. 578, in dem auf die Zusprechung von Parteikosten an die Nebenintervenientin verzichtet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