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4A_43/2026 vom 5. Mai 2026</w:t>
      </w:r>
    </w:p>
    <w:p>
      <w:r>
        <w:t>Bundesgericht, 2026-05-05, DE</w:t>
      </w:r>
    </w:p>
    <w:p>
      <w:r>
        <w:rPr>
          <w:b/>
        </w:rPr>
        <w:t xml:space="preserve">Quelle: </w:t>
      </w:r>
      <w:r>
        <w:t>https://mcp.opencaselaw.ch/entscheid/bger_4A_43_2026</w:t>
      </w:r>
    </w:p>
    <w:p>
      <w:r>
        <w:t>FR: TF 4A_43/2026 du 5 mai 2026</w:t>
      </w:r>
    </w:p>
    <w:p>
      <w:r>
        <w:t>IT: TF 4A_43/2026 del 5 maggio 2026</w:t>
      </w:r>
    </w:p>
    <w:p>
      <w:pPr>
        <w:pStyle w:val="Heading2"/>
      </w:pPr>
      <w:r>
        <w:t>Erwägungen</w:t>
      </w:r>
    </w:p>
    <w:p>
      <w:r>
        <w:rPr>
          <w:b/>
        </w:rPr>
        <w:t>E. 1</w:t>
      </w:r>
    </w:p>
    <w:p>
      <w:r>
        <w:t>Das Bundesgericht prüft von Amtes wegen und mit freier Kognition, ob ein Rechtsmittel zulässig ist ( Art. 29 Abs. 1 BGG ; BGE 150 III 248 E. 1; 149 III 277 E. 3.1 ; 145 I 121 E. 1).</w:t>
      </w:r>
    </w:p>
    <w:p>
      <w:r>
        <w:rPr>
          <w:b/>
        </w:rPr>
        <w:t>E. 1.1</w:t>
      </w:r>
    </w:p>
    <w:p>
      <w:r>
        <w:t>Die Beschwerde betrifft eine Zivilsache ( Art. 72 BGG ) und richtet sich gegen den Endentscheid ( Art. 90 BGG ) eines oberen kantonalen Gerichts, das in Anwendung von Art. 6 Abs. 1 ZPO als einzige kantonale Instanz entschieden hat ( Art. 75 Abs. 2 lit. a BGG ). Die Beschwerdeführerin ist mit ihren Anträgen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t>Für die Beschwerdeantwort gelten dieselben Begründungsanforderungen ( BGE 140 III 86 E. 2, 115 E. 2; Urteil 5A_502/2023 vom 20. März 2024 E. 1, nicht publ. in: BGE 150 III 223 ).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Beklagte rügt, die Vorinstanz habe die Aktivlegitimation der Klägerin zu Unrecht bejaht. Zudem habe sie eine Verwirkung der Ansprüche wegen verspäteter Mängelrüge bundesrechtswidrig verneint.</w:t>
      </w:r>
    </w:p>
    <w:p>
      <w:r>
        <w:rPr>
          <w:b/>
        </w:rPr>
        <w:t>E. 2.1</w:t>
      </w:r>
    </w:p>
    <w:p>
      <w:r>
        <w:t>Nach einem Rückweisungsentscheid des Bundesgerichts sind sowohl dieses selbst als auch die kantonalen Instanzen an die rechtliche Beurteilung gebunden, mit der die Rückweisung begründet wurde ( BGE 150 III 385 E. 5.3).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143 IV 214 E. 5.3.3; 135 III 334 E. 2 und 2.1 mit Hinweisen).</w:t>
      </w:r>
    </w:p>
    <w:p>
      <w:r>
        <w:t>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(Urteile 4A_480/2024 vom 24. Januar 2025 E. 2; 4A_70/2021 vom 15. Juli 2021 E. 7; 4A_197/2020 vom 10. Dezember 2020 E. 3.2.1; 4A_268/2015 vom 24. September 2015 E. 1.2; je mit Hinweisen).</w:t>
      </w:r>
    </w:p>
    <w:p>
      <w:r>
        <w:t>Die neue Entscheidung der unteren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Daraus folgt schliesslich auch, dass die zuvor obsiegende Beschwerdeführerin im neuen Verfahren keine Verschlechterung ihrer Rechtsstellung erleiden darf; im für sie ungünstigsten Fall müsste sie sich mit dem bisherigen, von der Gegenpartei nicht angefochtenen Ergebnis abfinden ( BGE 135 III 334 E. 2; 131 III 91 E. 5.2; 116 II 220 E. 4a; Urteile 4A_480/2024 vom 24. Januar 2025 E. 2; 4A_554/2023 vom 26. März 2024 E. 2.1).</w:t>
      </w:r>
    </w:p>
    <w:p>
      <w:r>
        <w:rPr>
          <w:b/>
        </w:rPr>
        <w:t>E. 2.2</w:t>
      </w:r>
    </w:p>
    <w:p>
      <w:r>
        <w:t>Die Vorinstanz hatte die - von der Beklagten bestrittene - Aktivlegitimation der Klägerin bereits in ihrem ersten Urteil vom 27. Juni 2019 beurteilt und nach eingehender Prüfung der Vorbringen der Parteien bejaht. Die Beklagte hat die entsprechenden Erwägungen im ersten Verfahren vor Bundesgericht nicht für den Fall beanstandet, dass die Klägerin mit ihren Vorbringen durchdringen sollte, obwohl ihr dies möglich gewesen wäre ( BGE 142 IV 129 E. 4.1; 140 III 86 E. 2; 136 III 502 E. 6.2; Urteil 5A_503/2024 vom 11. August 2025 E. 2.3; 4A_6/2019 vom 19. September 2019 E. 2). Mangels entsprechender Vorbringen war das Bundesgericht nicht veranlasst, die Frage der Aktivlegitimation im ersten Beschwerdeverfahren zu prüfen. Die Beklagte verkennt die Bindung an den bundesgerichtlichen Rückweisungsentscheid vom 27. April 2020, wenn sie nunmehr gegen das angefochtene Urteil vom 8. Dezember 2025 vorbringt, die Vorinstanz habe die Aktivlegitimation der Klägerin zu Unrecht bejaht. Sie verkennt insbesondere, dass die Vorinstanz die - bereits im ersten Urteil vom 27. Juni 2019 bejahte - Aktivlegitimation nach erfolgter Rückweisung nicht erneut überprüfen durfte, sondern die entsprechenden Erwägungen des ersten Urteils im angefochtenen Entscheid lediglich</w:t>
      </w:r>
    </w:p>
    <w:p>
      <w:r>
        <w:t>pro forma wiederholte.</w:t>
      </w:r>
    </w:p>
    <w:p>
      <w:r>
        <w:t>Die Vorbringen in der Beschwerde zur Aktivlegitimation der Klägerin haben demnach unbeachtet zu bleiben.</w:t>
      </w:r>
    </w:p>
    <w:p>
      <w:r>
        <w:rPr>
          <w:b/>
        </w:rPr>
        <w:t>E. 2.3</w:t>
      </w:r>
    </w:p>
    <w:p>
      <w:r>
        <w:t>Entsprechendes gilt für die Vorbringen zur angeblichen Verwirkung der eingeklagten Ansprüche. Die Vorinstanz hatte den von der Beklagten erhobenen Einwand der Verwirkung wegen verspäteter Mängelrügen bereits in ihrem ersten Urteil vom 27. Juni 2019 beurteilt und nach eingehender Prüfung verneint. Die im angefochtenen Entscheid lediglich</w:t>
      </w:r>
    </w:p>
    <w:p>
      <w:r>
        <w:t>pro forma wiederholten Erwägungen ergaben sich bereits aus dem ersten Urteil vom 27. Juni 2019. Die Beklagte hatte die nunmehr beanstandeten Erwägungen im ersten Verfahren vor Bundesgericht nicht für den Fall als bundesrechtswidrig gerügt, dass die Klägerin mit ihren Vorbringen durchdringen sollte. Entsprechend war das Bundesgericht nicht veranlasst, die Frage der Rechtzeitigkeit der Mängelrügen bzw. der Verwirkung der Ansprüche im ersten Beschwerdeverfahren zu überprüfen.</w:t>
      </w:r>
    </w:p>
    <w:p>
      <w:r>
        <w:t>Die Beklagte verkennt die Bindung an den bundesgerichtlichen Rückweisungsentscheid vom 27. April 2020, wenn sie nunmehr gegen das angefochtene Urteil vom 8. Dezember 2025 vorbringt, dieses habe die Verwirkung der Ansprüche infolge verspäteter Mängelrüge zu Unrecht verneint. Die entsprechenden Vorbringen haben unbeachtet zu bleiben.</w:t>
      </w:r>
    </w:p>
    <w:p>
      <w:r>
        <w:rPr>
          <w:b/>
        </w:rPr>
        <w:t>E. 3</w:t>
      </w:r>
    </w:p>
    <w:p>
      <w:r>
        <w:t>Die Beklagte wirft der Vorinstanz hinsichtlich der Feststellungen im angefochtenen Entscheid zum Zustand der Filialen eine Verletzung von Art. 157 ZPO sowie Art. 9 und Art. 29 BV vor.</w:t>
      </w:r>
    </w:p>
    <w:p>
      <w:r>
        <w:rPr>
          <w:b/>
        </w:rPr>
        <w:t>E. 3.1.1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Das Bundesgericht hebt einen Entscheid nur auf, wenn er nicht bloss in der Begründung, sondern auch im Ergebnis unhaltbar ist ( BGE 148 II 106 E. 4.6.1; 148 III 95 E. 4.1; 141 III 564 E. 4.1; je mit Hinweisen).</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3.1.2</w:t>
      </w:r>
    </w:p>
    <w:p>
      <w:r>
        <w:t>Der Anspruch auf rechtliches Gehör verlangt, dass die Behörde die Vorbringen der Beteiligten tatsächlich hört, prüft und bei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vgl. auch BGE 146 II 335 E. 5.1; 145 III 324 E. 6.1).</w:t>
      </w:r>
    </w:p>
    <w:p>
      <w:r>
        <w:rPr>
          <w:b/>
        </w:rPr>
        <w:t>E. 3.2</w:t>
      </w:r>
    </w:p>
    <w:p>
      <w:r>
        <w:t>Die Beklagte beanstandet die vorinstanzliche Feststellung zum Zustand der Filialen, wonach die oberflächlichen Folgen (Risse, Putzablösungen) durch die amtlichen Befunde und die gemeinsamen Begehungen weitgehend belegt seien. Zudem wehrt sie sich gegen die Feststellung im angefochtenen Entscheid zum Schadensbild, wonach der Gutachter festgehalten habe, es sei davon auszugehen, dass die in den Privatgutachten und den Protokollen der amtlichen Feststellungen erfassten Baumängel und Schäden tatsächlich vorhanden gewesen seien. Die Vorinstanz habe in diesem Zusammenhang zu Unrecht festgehalten, wenn der Gutachter gestützt auf die im angefochtenen Entscheid erwähnten Beweismittel zum Schluss gelange, dass das Schadensbild so bestanden haben müsse, sei dies nicht zu bemängeln.</w:t>
      </w:r>
    </w:p>
    <w:p>
      <w:r>
        <w:rPr>
          <w:b/>
        </w:rPr>
        <w:t>E. 3.3</w:t>
      </w:r>
    </w:p>
    <w:p>
      <w:r>
        <w:t>Entgegen den Vorbringen in der Beschwerde trifft nicht zu, dass die Vorinstanz in Verletzung von Art. 157 ZPO und Art. 29 BV auf eine eigenständige Beweiswürdigung verzichtet, geschweige denn willkürlich im Sinne von Art. 9 BV gehandelt hätte. Sie hat ihre Beurteilung nicht ausschliesslich auf die Ausführungen des Gutachters, sondern auch auf die im vorinstanzlichen Verfahren eingereichten Urkunden gestützt. Sie hat die von der Beklagten gegen das Gutachten erhobenen Einwände nachvollziehbar als unbegründet erachtet und in Würdigung der verschiedenen Beweismittel dafürgehalten, der Klägerin gelinge der Nachweis, dass das von ihr behauptete Schadensbild an den streitgegenständlichen Filialen bestand. Eine Verletzung des Grundsatzes der freien Beweiswürdigung ( Art. 157 ZPO ) ist darin ebenso wenig zu erblicken wie eine Verletzung von Art. 9 oder Art. 29 BV .</w:t>
      </w:r>
    </w:p>
    <w:p>
      <w:r>
        <w:t>Indem die Beklagte dem Bundesgericht gestützt auf verschiedene Aktenstücke des kantonalen Verfahrens, so etwa die Honorarnote bzw. die Zeiterfassung des Gutachters sowie die aufgelisteten Stundenaufwände des Gegenanwalts, ihre eigene Sicht der Dinge zum Zeitpunkt des Besuchs der Filialen sowie zur Rolle und den Interessen der ausführenden Unternehmen unterbreitet, sind ihre Ausführungen rein appellatorisch. Unbeachtlich sind ihre Ausführungen auch insoweit, als die Beklagte lediglich ihre Vorbringen in der Stellungnahme vom 20. September 2023 zum Gutachten (kant. act. 120), so insbesondere zu verschiedenen Fotoaufnahmen der Filialen, wiederholt.</w:t>
      </w:r>
    </w:p>
    <w:p>
      <w:r>
        <w:t>Unbegründet ist zudem der unter Berufung auf Art. 8 ZGB und Art. 157 ZPO erhobene Einwand, die Vorinstanz habe ein falsches Beweismass angewendet. Entgegen den Vorbringen in der Beschwerde leuchtet nicht ein, dass die Vorinstanz ihrer Beurteilung mit ihrem Hinweis, die oberflächlichen Folgen (Risse, Putzablösungen) seien "weitgehend belegt", tiefere Anforderungen an den Beweis zugrunde legte. Vielmehr ist die Erwägung dahingehend zu verstehen, dass sie den überwiegenden Teil der geltend gemachten Mängel als nachgewiesen betrachtete. Abgesehen davon setzt sich die Beklagte nicht mit der im gleichen Zusammenhang getroffenen Erwägung auseinander, wonach die geltend gemachten Mängel von ihr auch nicht bestritten worden seien.</w:t>
      </w:r>
    </w:p>
    <w:p>
      <w:r>
        <w:rPr>
          <w:b/>
        </w:rPr>
        <w:t>E. 4</w:t>
      </w:r>
    </w:p>
    <w:p>
      <w:r>
        <w:t>Die Beklagte rügt, die Vorinstanz habe mit der bejahten Haftung für fehlerhafte Bauleitung in verschiedener Hinsicht Art. 394 und Art. 398 OR verletzt.</w:t>
      </w:r>
    </w:p>
    <w:p>
      <w:r>
        <w:rPr>
          <w:b/>
        </w:rPr>
        <w:t>E. 4.1.1</w:t>
      </w:r>
    </w:p>
    <w:p>
      <w:r>
        <w:t>Die Vorinstanz erachtete die</w:t>
      </w:r>
    </w:p>
    <w:p>
      <w:r>
        <w:t>Planung der Sockelabdichtung durch die Beklagte gestützt auf die Leitdetails Stand 04/2007, 11/2007 und 11/2008 für die Filialen X.________, Y.________, Z.________, U1.________ und V1.________ als mangelhaft. Demgegenüber könne der Beklagten für die Filialen V.________ und W.________ keine fehlerhafte Planung vorgeworfen werden; bei diesen Filialen seien die Leitdetails in der Ausgabe 01/2010 anwendbar gewesen, die den Regeln der Baukunde entsprochen hätten. Demnach hafte die Beklagte nur für die erstgenannten Filialen nach den werkvertraglichen Regeln.</w:t>
      </w:r>
    </w:p>
    <w:p>
      <w:r>
        <w:t>In Bezug auf den Vorwurf der</w:t>
      </w:r>
    </w:p>
    <w:p>
      <w:r>
        <w:t>fehlerhaften Bauleitung erwog die Vorinstanz, dass die Beklagte als Bauleiterin bei der Ausführung der Sockelabdichtung bei sämtlichen Filialen eine engmaschigere Überwachung hätte sicherstellen müssen. Die Tatsache, dass die Sockel ungenügend abgedichtet gewesen seien, zeige, dass sie diese Überwachung nicht in genügendem Mass wahrgenommen habe. Damit sei die Beklagte ihren Aufgaben als Bauleiterin nicht in genügender Weise nachgekommen und habe für die daraus entstandenen Schäden - bei allen Filialen - nach den Regeln des Auftragsrechts einzustehen.</w:t>
      </w:r>
    </w:p>
    <w:p>
      <w:r>
        <w:rPr>
          <w:b/>
        </w:rPr>
        <w:t>E. 4.1.2</w:t>
      </w:r>
    </w:p>
    <w:p>
      <w:r>
        <w:t>Die Beschwerdeführerin vermag diese Erwägungen nicht als bundesrechtswidrig auszuweisen. Sie verkennt, dass die Vorinstanz unabhängig von der Frage der mangelhaften</w:t>
      </w:r>
    </w:p>
    <w:p>
      <w:r>
        <w:t>Planung eine fehlerhafte</w:t>
      </w:r>
    </w:p>
    <w:p>
      <w:r>
        <w:t>Überwachung der konkreten Ausführung durch die Beklagte als Bauleiterin bejahte. Entgegen dem, was die Beklagte anzunehmen scheint, ist darin keine Verletzung von Art. 394 oder Art. 398 OR , geschweige denn Art. 9 BV zu erkennen. Der Vorwurf der Willkür lässt sich auch nicht damit begründen, die Vorinstanz sei in anderem Zusammenhang, nämlich bezüglich des Bodengefälles, davon ausgegangen, dass ihr bei einer plangemässen Ausführung der Bauleitung kein Fehler vorgeworfen werden könne. Im Gegenteil sind Planung und Bauleitung auseinanderzuhalten, was die Vorinstanz zu Recht erkannt hat.</w:t>
      </w:r>
    </w:p>
    <w:p>
      <w:r>
        <w:rPr>
          <w:b/>
        </w:rPr>
        <w:t>E. 4.2</w:t>
      </w:r>
    </w:p>
    <w:p>
      <w:r>
        <w:t>Auch mit ihren Vorbringen zur bejahten Haftung aus Auftragsrecht für die fehlenden entwässernden Rinnen vermag die Beklagte keine Verletzung von Bundesrecht aufzuzeigen. Sie unterbreitet dem Bundesgericht lediglich in unzulässiger Weise ihre eigene Sicht der Dinge, wonach die ausgeführten Pläne von einer fachkundigen Person erstellt worden seien und die Klägerin selber fachkundig gewesen sei, weshalb der Bauleitung kein Vorwurf ungenügender Überwachung oder mangelnder Sorgfalt gemacht werden könne. Die Vorbringen zielen ins Leere.</w:t>
      </w:r>
    </w:p>
    <w:p>
      <w:r>
        <w:rPr>
          <w:b/>
        </w:rPr>
        <w:t>E. 5</w:t>
      </w:r>
    </w:p>
    <w:p>
      <w:r>
        <w:t>Die Beklagte beanstandet die Erwägungen im angefochtenen Entscheid zum Zusammenwirken der verschiedenen Teilursachen (multikausaler Verlauf) als bundesrechtswidrig.</w:t>
      </w:r>
    </w:p>
    <w:p>
      <w:r>
        <w:rPr>
          <w:b/>
        </w:rPr>
        <w:t>E. 5.1</w:t>
      </w:r>
    </w:p>
    <w:p>
      <w:r>
        <w:t>Die Vorinstanz sah es als erwiesen an, dass verschiedene Ursachen für die entstandenen Schäden an den Filialen kausal seien bzw. eine relevante Mitursache für die Entstehung dieser Schäden darstellten, wobei sie die relevanten (Mit-) Ursachen im Urteil für die verschiedenen Filialen in einer Tabelle darstellte. Sie prüfte sodann für jede Filiale die Anteile der verschiedenen Mitursachen am Gesamtschaden und hielt zusammenfassend fest, dass die fehlende Sockelabdichtung, die fehlenden Kapillarschnitte, die fehlenden Schwedenschnitte, die fehlenden Gleitlager, der ungenügende Putz sowie mechanische Beschädigungen und die Reinigung mit einem Schlauch geeignet seien, um den an den streitgegenständlichen Filialen entstandenen Schaden zu verursachen. Ebenfalls dazu geeignet sei die fehlerhafte Perimeterdämmung in beiden hier relevanten Formen, jedoch nur zu einem geringen Ausmass. Sodann begünstigten die fehlenden entwässernden Rinnen bei schwellenlosen Zugängen die Entstehung des Schadens. Für diese möglichen Ursachen sei damit ein natürlicher Kausalzusammenhang gegeben. Dagegen sei nicht erstellt, dass die fehlende Netzeinbettung, die Erstellung der Böden im Rüttelbettverfahren oder allfällige Um- und Erweiterungsarbeiten eine natürliche kausale Ursache der entstandenen Schäden darstellten.</w:t>
      </w:r>
    </w:p>
    <w:p>
      <w:r>
        <w:rPr>
          <w:b/>
        </w:rPr>
        <w:t>E. 5.2</w:t>
      </w:r>
    </w:p>
    <w:p>
      <w:r>
        <w:t>Die Beklagte bringt vor, die Vorinstanz hätte aus der Feststellung, das ungenügende Bodengefälle sei keine Mitursache für den Schaden, nicht schliessen dürfen, dass der Anteil der übrigen Mitursachen bei der Schadensverursachung entsprechend höher ausfalle. Entsprechendes gelte für die fehlende Netzeinbettung sowie die Gleitlager.</w:t>
      </w:r>
    </w:p>
    <w:p>
      <w:r>
        <w:rPr>
          <w:b/>
        </w:rPr>
        <w:t>E. 5.3</w:t>
      </w:r>
    </w:p>
    <w:p>
      <w:r>
        <w:t>Die Beklagte verkennt zunächst, dass die Vorinstanz einen Kausalzusammenhang zwischen dem Bodengefälle und der fehlenden Netzeinbettung verneinte und diese in tatsächlicher Hinsicht gerade nicht als relevante (Mit-) Ursache betrachtete. Mangels Ursächlichkeit hat sie diesen beiden Elementen zu Recht keinen Anteil am Schaden zugewiesen, womit sich die Anteile der erstellten (Mit-) Ursachen jeweils folgerichtig erhöhten. Die Beklagte übersieht zudem, dass die Vorinstanz auf eine Ausscheidung der jeweiligen Anteile der fehlenden Gleitlager und der "weiteren Ursachen" verzichtete, weil die Beklagte für keine dieser beiden Ursachen einzustehen hat. Inwiefern ihr daraus ein Nachteil entstehen soll, leuchtet nicht ein. Der Vorinstanz ist weder eine falsche Rechtsanwendung noch bundesrechtswidrige, geschweige denn willkürliche Beweiswürdigung vorzuwerfen.</w:t>
      </w:r>
    </w:p>
    <w:p>
      <w:r>
        <w:rPr>
          <w:b/>
        </w:rPr>
        <w:t>E. 6</w:t>
      </w:r>
    </w:p>
    <w:p>
      <w:r>
        <w:t>Die Beklagte rügt, die Vorinstanz habe die von ihr für die werkvertraglichen Ansprüche betreffend die Filialen Y.________ und U1.________ erhobene Verjährungseinrede nicht geprüft und damit den Gehörsanspruch ( Art. 53 Abs. 1 ZPO und Art. 29 Abs. 2 BV ) verletzt.</w:t>
      </w:r>
    </w:p>
    <w:p>
      <w:r>
        <w:rPr>
          <w:b/>
        </w:rPr>
        <w:t>E. 6.1</w:t>
      </w:r>
    </w:p>
    <w:p>
      <w:r>
        <w:t>Sie bringt vor, sie habe in ihren Rechtsschriften, so insbesondere in ihrer Klageantwort vom 28. November 2016 (kant. act. 10) die Verjährungseinrede für die Filialen Y.________ und U1.________ erhoben. Die Verjährungsfristen für diese Filialen hätten spätestens mit den Schlussabnahmen vom 8. November 2007 (Y.________) und am 7. Mai 2008 (U1.________) zu laufen begonnen, weshalb die Verjährung der klägerischen Ansprüche aus werkvertraglicher Haftung eingetreten sei.</w:t>
      </w:r>
    </w:p>
    <w:p>
      <w:r>
        <w:rPr>
          <w:b/>
        </w:rPr>
        <w:t>E. 6.2</w:t>
      </w:r>
    </w:p>
    <w:p>
      <w:r>
        <w:t>Die Beklagte bringt zutreffend vor, dass die Vorinstanz die von ihr erhobene Verjährungseinrede nicht geprüft hat. Sie hatte die Verjährung auch nicht etwa in ihrem ersten Urteil vom 27. Juni 2019 beurteilt, sondern verneinte die materiellen Anspruchsvoraussetzungen der eingeklagten Ansprüche. Entsprechend war die Beklagte im ersten Beschwerdeverfahren vor Bundesgericht nicht veranlasst, auf die Verjährung einzugehen. Der Klägerin kann zudem nicht gefolgt werden, wenn sie in der Beschwerdeantwort vorbringt, die Vorinstanz habe im angefochtenen Urteil vom 8. Dezember 2025 die Verjährungseinrede der Beklagten geprüft und sei zum Schluss gekommen, dass die Verjährung für die werkvertragliche Haftung nicht eingetreten sei. Sie vermag ihre Behauptung nicht mit einem konkreten Hinweis auf den angefochtenen Entscheid zu belegen. Dessen Erwägungen lassen sich auch keine Hinweis dafür entnehmen, dass die Vorinstanz die Verjährungseinrede geprüft und in ihrem Entscheid implizit abgewiesen hätte.</w:t>
      </w:r>
    </w:p>
    <w:p>
      <w:r>
        <w:t>Die Rüge der Verletzung des rechtlichen Gehörs (dazu vorn E. 3.1.2) erweist sich damit als berechtigt. Die Vorinstanz wird nach der Rückweisung einzig die von der Beklagten erhobene Verjährungseinrede für die zugesprochenen werkvertraglichen Ansprüche betreffend die Filialen Y.________ und U1.________ zu prüfen haben.</w:t>
      </w:r>
    </w:p>
    <w:p>
      <w:r>
        <w:rPr>
          <w:b/>
        </w:rPr>
        <w:t>E. 7</w:t>
      </w:r>
    </w:p>
    <w:p>
      <w:r>
        <w:t>Die Beschwerde ist teilweise gutzuheissen, der angefochtene Entscheid vom 8. Dezember 2025 ist aufzuheben und die Sache zur Prüfung der Verjährung der werkvertraglichen Ansprüche betreffend die Filialen Y.________ und U1.________ an die Vorinstanz zurückzuweisen. Im Übrigen ist die Beschwerde abzuweisen, soweit darauf einzutreten ist.</w:t>
      </w:r>
    </w:p>
    <w:p>
      <w:r>
        <w:t>Die von der Vorinstanz gutgeheissenen Schadenersatzansprüche für die beiden Filialen betragen Fr. 36'090.32 (Y.________) bzw. Fr. 25'027.02 (U1.________), zusammengerechnet also Fr. 61'117.34. Angesichts des vorinstanzlich zugesprochenen Schadenersatzbetrags von insgesamt Fr. 257'363.85 obsiegt die Beklagte damit zu einem Viertel, die Klägerin zu drei Vierteln.</w:t>
      </w:r>
    </w:p>
    <w:p>
      <w:r>
        <w:t>Dem Ausgang des Verfahrens entsprechend werden die Gerichtskosten von Fr. 7'000.-- der Beklagten im Umfang von Fr. 5'250.-- und der Klägerin im Umfang von Fr. 1'750.-- auferlegt ( Art. 66 Abs. 1 BGG ). Im Umfang der von der Klägerin geschuldeten Parteientschädigung von Fr. 2'000.-- heben sich die geschuldeten Entschädigungen gegenseitig auf, womit sich die von der Beklagten noch zu entrichtende Parteientschädigung auf Fr. 4'000.-- beläuft (Fr. 6'000.-- minus Fr. 2'000.--;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