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43/2014 vom 24. April 2014</w:t>
      </w:r>
    </w:p>
    <w:p>
      <w:r>
        <w:t>Bundesgericht, 2014-04-24, FR</w:t>
      </w:r>
    </w:p>
    <w:p>
      <w:r>
        <w:rPr>
          <w:b/>
        </w:rPr>
        <w:t xml:space="preserve">Quelle: </w:t>
      </w:r>
      <w:r>
        <w:t>https://mcp.opencaselaw.ch/entscheid/bger_4A_43_2014</w:t>
      </w:r>
    </w:p>
    <w:p>
      <w:r>
        <w:t>FR: TF 4A 43/2014 du 24 avril 2014</w:t>
      </w:r>
    </w:p>
    <w:p>
      <w:r>
        <w:t>IT: TF 4A 43/2014 del 24 aprile 2014</w:t>
      </w:r>
    </w:p>
    <w:p>
      <w:pPr>
        <w:pStyle w:val="Heading2"/>
      </w:pPr>
      <w:r>
        <w:t>Regeste</w:t>
      </w:r>
    </w:p>
    <w:p>
      <w:r>
        <w:t>arbitrage interne, convention collective de travail | Procédure civile</w:t>
      </w:r>
    </w:p>
    <w:p>
      <w:pPr>
        <w:pStyle w:val="Heading2"/>
      </w:pPr>
      <w:r>
        <w:t>Erwägungen</w:t>
      </w:r>
    </w:p>
    <w:p>
      <w:r>
        <w:rPr>
          <w:b/>
        </w:rPr>
        <w:t>E. 1.1</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fixées aux art. 190 à 192 LDIP (let. a), que pour l'arbitrage interne, aux conditions fixées aux art. 389 à 395 CPC (let. b). Dans les deux cas, un certain nombre de dispositions de la LTF, en particulier les art. 95 à 98 relatifs aux motifs de recours, de même que l'art. 105 al. 2, qui permet, à certaines conditions, de rectifier ou de compléter l'état de fait, sont déclarées inapplicables par l' art. 77 al. 2 LTF . En revanche, l' art. 99 al. 1 LTF est maintenu, qui interdit de présenter un fait nouveau ou une preuve nouvelle, à quelques exceptions près ( art. 77 al. 2 LTF a contrario ). Quant à l' art. 77 al. 3 LTF , il impose au Tribunal fédéral de n'examiner que les griefs invoqués et motivés par le recourant. Il n'est pas nécessaire de trancher ici la question - controversée - de savoir si le recours formé contre une telle sentence doit satisfaire à l'exigence d'une valeur litigieuse minimale ( art. 74 LTF ). En effet, pour les motifs indiqués ci-après, le recours est de toute façon irrecevable.</w:t>
      </w:r>
    </w:p>
    <w:p>
      <w:r>
        <w:rPr>
          <w:b/>
        </w:rPr>
        <w:t>E. 1.2</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pour des exceptions à ce principe, cf. l' art. 395 al. 4 CPC ainsi que, mutatis mutandis , l' ATF 136 III 605 consid. 3.3.4 p. 616 au sujet des problèmes de compétence et de récusation). Toute autre conclusion est irrecevable. 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4A_205/2013 du 17 juin 2013 consid. 2.1 et les précédents cités).</w:t>
      </w:r>
    </w:p>
    <w:p>
      <w:r>
        <w:rPr>
          <w:b/>
        </w:rPr>
        <w:t>E. 1.3</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 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4A_439 et 457/2012 du 8 mai 2013 consid. 4.1). En d'autres termes, l'erreur sanctionnée autrefois par l' art. 36 let . f CA et aujourd'hui par l' art. 393 let . e CPC s'apparente davantage à la notion d'inadvertance manifeste qu'utilisait l'art. 63 al. 2 de loi fédérale d'organisation judiciaire du 16 décembre 1943 (pour la définition de cette notion, cf. ATF 115 II 399 consid. 2a) qu'à celle d'établissement des faits de façon manifestement inexacte qui figure à l' art. 105 al. 2 LTF et qui correspond à l'arbitraire ( ATF 137 I 58 consid. 4.1.2). L'arbitraire proscrit par l' art. 393 let . e CPC découle aussi du fait que la sentence arbitrale constitue une violation manifeste du droit.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Encore faut-il, dans les hypothèses évoquées ci-dessus, que la violation avérée ait rendu la sentence arbitraire dans son résultat, comme le précise expressément la disposition citée.</w:t>
      </w:r>
    </w:p>
    <w:p>
      <w:r>
        <w:rPr>
          <w:b/>
        </w:rPr>
        <w:t>E. 2</w:t>
      </w:r>
    </w:p>
    <w:p>
      <w:r>
        <w:t>La recourante méconnaît la nature cassatoire du recours en matière civile dirigé contre une sentence arbitrale interne lorsqu'elle requiert le Tribunal fédéral d'annuler non seulement la sentence attaquée, mais encore les amendes prononcées le 12 juillet 2013 par B.________. Dans la mesure où leur objet va, en partie, au-delà de l'annulation de cette sentence, son recours est irrecevable.</w:t>
      </w:r>
    </w:p>
    <w:p>
      <w:r>
        <w:rPr>
          <w:b/>
        </w:rPr>
        <w:t>E. 3.1</w:t>
      </w:r>
    </w:p>
    <w:p>
      <w:r>
        <w:t>Pour imputer une déclaration mensongère à la recourante, la Chambre s'est fondée sur la lettre, précitée, que celle-ci avait adressée le 11 avril 2013 à B.________. Il ne lui a pas échappé, ce faisant, que le courrier de B.________ du 13 mars 2013, auquel ladite lettre répondait, contenait une erreur de date. Toutefois, tenant compte des autres indications correctes contenues dans cette dernière lettre ainsi que de l'ensemble des circonstances connues de l'intéressée, elle a retenu que l'entreprise incriminée avait parfaitement compris l'objet de la lettre de B.________, si bien qu'en répondant à cette missive comme elle l'a fait, elle s'est rendue coupable d'une déclaration mensongère. Pareille conclusion découle d'une appréciation d'un élément de preuve replacé dans son contexte. Comme telle, elle échappe à l'examen du Tribunal fédéral. Aussi les explications, du reste appellatoires, que lui oppose la recourante, ne sont-elles pas recevables.</w:t>
      </w:r>
    </w:p>
    <w:p>
      <w:r>
        <w:rPr>
          <w:b/>
        </w:rPr>
        <w:t>E. 3.2</w:t>
      </w:r>
    </w:p>
    <w:p>
      <w:r>
        <w:t>La Chambre expose, ensuite, en se basant sur les dispositions pertinentes de la CCT-SOR, que le fait de travailler le samedi sans autorisation dérogatoire est une infraction objective, quels qu'en soient les motifs, raison pour laquelle l'employeur du travailleur qui effectue le travail prohibé doit être sanctionné. La recourante n'attaque pas valablement cette argumentation, ni ne cherche à en démontrer le caractère arbitraire. Elle se contente, à nouveau, d'émettre un certain nombre d'affirmations dont on ne perçoit pas le rapport qu'elles pourraient avoir avec la ratio decidendi de la sentence attaquée et qui ne sont en tout cas pas de nature à établir un quelconque arbitraire, que ce soit au niveau des constatations de fait ou à celui de l'application du droit.</w:t>
      </w:r>
    </w:p>
    <w:p>
      <w:r>
        <w:rPr>
          <w:b/>
        </w:rPr>
        <w:t>E. 3.3</w:t>
      </w:r>
    </w:p>
    <w:p>
      <w:r>
        <w:t>Pour le surplus, on ne parvient pas à individualiser, dans le mémoire de recours, une critique intelligible des considérations émises par la Chambre en rapport avec la question des déclarations à faire aux assurances sociales, en particulier s'agissant de l'argument selon lequel il eût appartenu à la recourante de déclarer à ces assurances-là les heures de travail effectuées par C.________ en dehors du cadre de la location de services.</w:t>
      </w:r>
    </w:p>
    <w:p>
      <w:r>
        <w:rPr>
          <w:b/>
        </w:rPr>
        <w:t>E. 4</w:t>
      </w:r>
    </w:p>
    <w:p>
      <w:r>
        <w:t>En définitive, le présent recours se révèle irrecevable dans sa totalité, faute d'une motivation suffisante. Son auteur, qui succombe, devra donc payer les frais de la procédure fédérale ( art. 66 al. 1 LTF ). En revanche, il n'aura pas à verser de dépens à l'intimée puisque celle-ci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