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4A_439/2008 vom 12. November 2008</w:t>
      </w:r>
    </w:p>
    <w:p>
      <w:r>
        <w:t>Bundesgericht, 2008-11-12, FR</w:t>
      </w:r>
    </w:p>
    <w:p>
      <w:r>
        <w:rPr>
          <w:b/>
        </w:rPr>
        <w:t xml:space="preserve">Quelle: </w:t>
      </w:r>
      <w:r>
        <w:t>https://mcp.opencaselaw.ch/entscheid/bger_4A_439_2008</w:t>
      </w:r>
    </w:p>
    <w:p>
      <w:r>
        <w:t>FR: TF 4A_439/2008 du 12 novembre 2008</w:t>
      </w:r>
    </w:p>
    <w:p>
      <w:r>
        <w:t>IT: TF 4A_439/2008 del 12 novembre 2008</w:t>
      </w:r>
    </w:p>
    <w:p>
      <w:pPr>
        <w:pStyle w:val="Heading2"/>
      </w:pPr>
      <w:r>
        <w:t>Erwägungen</w:t>
      </w:r>
    </w:p>
    <w:p>
      <w:r>
        <w:rPr>
          <w:b/>
        </w:rPr>
        <w:t>E. 1</w:t>
      </w:r>
    </w:p>
    <w:p>
      <w:r>
        <w:t>Le Tribunal fédéral examine d'office et librement la recevabilité des recours qui lui sont soumis ( ATF 134 III 235 consid. 1).</w:t>
      </w:r>
    </w:p>
    <w:p>
      <w:r>
        <w:t>L'arrêt entrepris rejette la conclusion principale de la recourante, tranchant ainsi définitivement la question de la validité du congé au plan cantonal, mais laisse par contre indécis le sort de la conclusion subsidiaire en prolongation du bail. Dès lors qu'il ne met pas fin à l'entier de la procédure, il ne constitue pas une décision finale ( art. 90 LTF ). Il convient d'examiner s'il est néanmoins sujet à recours immédiat au Tribunal fédéral à un autre titre.</w:t>
      </w:r>
    </w:p>
    <w:p>
      <w:r>
        <w:t>Se pose en particulier la question de savoir si l'on se trouve en présence d'une décision partielle au sens de l' art. 91 let. a LTF . Selon cette disposition, il y a décision partielle si le juge a statué sur un objet dont le sort est indépendant de celui qui reste en cause. La formulation de l' art. 91 let. a LTF contient deux conditions cumulatives. La première est que le juge ait statué sur un objet, c'est-à-dire plus précisément un chef de conclusion ou une partie du petitum; cela suppose que des actions distinctes ont été jointes ou que la demande est divisible. Cette première condition est remplie en l'espèce: l'action en annulation du congé et celle en prolongation du bail sont deux actions distinctes, qui reposent sur des fondements juridiques différents et conduisent à des conclusions différentes. Mais il faut encore, seconde condition, que le sort de ces chefs de conclusion soit indépendant; cela suppose que l'on puisse juger séparément les deux conclusions (cf. à cet égard le texte allemand de l' art. 91 let. a LTF ; Corboz, Introduction à la nouvelle loi sur le Tribunal fédéral, SJ 2006 II p. 319 ss, spéc. p. 324), en ce sens que la décision sur l'une ne doit pas être le préalable nécessaire de la décision sur l'autre. En l'occurrence, la situation est très claire: il faut d'abord trancher la question de la validité du congé, et ce n'est que si le congé est valable - donc si la conclusion en annulation de la résiliation est d'abord rejetée - qu'une prolongation du bail est possible, question que le juge doit au demeurant examiner d'office ( art. 274f al. 3 CO ); la question de la validité du congé est ainsi une question préalable pour accorder la prolongation du bail et elle fonctionne comme une question préjudicielle. Dans un tel cas, le sort des deux demandes n'est pas indépendant et il ne s'agit pas d'une décision partielle, mais d'une décision incidente.</w:t>
      </w:r>
    </w:p>
    <w:p>
      <w:r>
        <w:t>Dès l'instant où ladite décision incidente ne porte pas sur la compétence ou sur une demande de récusation (cf. art. 92 LTF ), elle ne peut faire l'objet d'un recours au Tribunal fédéral que si l'une des deux conditions posées par l' art. 93 al. 1 LTF est réalisée: soit elle peut causer un préjudice irréparable (let. a; cf. ATF 133 III 629 consid. 2.3), soit l'admission du recours peut conduire immédiatement à une décision finale qui permet d'éviter une procédure probatoire longue et coûteuse (let. b; cf. ATF 133 III 629 consid. 2.4). Or, ces conditions ne sont manifestement pas remplies en l'espèce, l'examen de la question de la prolongation du bail ne demandant en particulier pas de procéder à une instruction longue et coûteuse. Par conséquent, le recours est irrecevable.</w:t>
      </w:r>
    </w:p>
    <w:p>
      <w:r>
        <w:rPr>
          <w:b/>
        </w:rPr>
        <w:t>E. 2</w:t>
      </w:r>
    </w:p>
    <w:p>
      <w:r>
        <w:t>Compte tenu de l'issue du litige, les frais judiciaires et dépens - réduits dès lors que l'intimé n'a pas déposé de réponse motivée -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