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4A_438/2019 vom 23. Oktober 2019</w:t>
      </w:r>
    </w:p>
    <w:p>
      <w:r>
        <w:t>Bundesgericht, 2019-10-23, DE</w:t>
      </w:r>
    </w:p>
    <w:p>
      <w:r>
        <w:rPr>
          <w:b/>
        </w:rPr>
        <w:t xml:space="preserve">Quelle: </w:t>
      </w:r>
      <w:r>
        <w:t>https://mcp.opencaselaw.ch/entscheid/bger_4A_438_2019</w:t>
      </w:r>
    </w:p>
    <w:p>
      <w:r>
        <w:t>FR: TF 4A_438/2019 du 23 octobre 2019</w:t>
      </w:r>
    </w:p>
    <w:p>
      <w:r>
        <w:t>IT: TF 4A_438/2019 del 23 ottobre 2019</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des Beschwerdeführers abgewiesen hat ( Art. 76 Abs. 1 BGG ). Der Streitwert ist erreicht ( Art. 74 Abs. 1 lit. a BGG ) und die Beschwerdefrist ( Art. 100 Abs. 1 BGG ) ist eingehalten.</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Dazu ist im Prinzip ein materieller Antrag erforderlich; ein Antrag auf blosse Aufhebung genügt nicht und macht die Beschwerde unzulässig ( BGE 134 III 379 E. 1.3 S. 383; 133 III 489 E. 3.1 S. 489 f.). Anträge auf Aufhebung und Rückweisung genügen ausnahmsweise dann, wenn das Bundesgericht im Falle der Gutheissung nicht selbst in der Sache entscheiden könnte ( BGE 136 V 131 E. 1.2; 134 III 379 E. 1.3 S. 383; 133 III 489 E. 3.1).</w:t>
      </w:r>
    </w:p>
    <w:p>
      <w:r>
        <w:rPr>
          <w:b/>
        </w:rPr>
        <w:t>E. 1.3</w:t>
      </w:r>
    </w:p>
    <w:p>
      <w:r>
        <w:t>Der Beschwerdeführer beantragt einzig, dass das vorinstanzliche Urteil aufzuheben und die Sache zu neuer Entscheidung an die Vorinstanz zurückzuweisen sei. Einen materiellen Antrag stellt er nicht. Ebensowenig legt er in der Beschwerdebegründung dar, warum der blosse Rückweisungsantrag ausnahmsweise genügen sollte. Er macht aber unter anderem eine Verletzung seines rechtlichen Gehörs geltend, weil ihm in der erstinstanzlichen Hauptverhandlung zu wenig Zeit gewährt worden sei, sich mit der Duplik der Beschwerdegegnerin auseinanderzusetzen. Sodann beruft er sich darauf, dass die Vorinstanz in Verletzung von Art. 152 ZPO von ihm beantragte Zeugen nicht befragt habe.</w:t>
      </w:r>
    </w:p>
    <w:p>
      <w:r>
        <w:t>Würde diesen Standpunkten des Beschwerdeführers gefolgt werden, könnte das Bundesgericht nicht reformatorisch entscheiden, sondern müsste die Sache an die Vorinstanz zurückweisen. Bei dieser Sachlage genügt der blosse Rückweisungsantrag des Beschwerdeführers.</w:t>
      </w:r>
    </w:p>
    <w:p>
      <w:r>
        <w:rPr>
          <w:b/>
        </w:rPr>
        <w:t>E. 1.4</w:t>
      </w:r>
    </w:p>
    <w:p>
      <w:r>
        <w:t>Da auch die übrigen Sachurteilsvoraussetzungen erfüllt sind und zu keinen Bemerkungen Anlass geben, ist unter Vorbehalt einer rechtsgenüglichen Begründung ( Art. 42 Abs. 2 BGG ; vgl. Erwägung 2) auf die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3.1</w:t>
      </w:r>
    </w:p>
    <w:p>
      <w:r>
        <w:t>Der Beschwerdeführer rügt eine Verletzung seines Anspruchs auf rechtliches Gehör nach Art. 29 Abs. 2 BV und Art. 6 Ziff. 1 EMRK sowie eine Verletzung von Art. 247 ZPO . Vor der erstinstanzlichen Hauptverhandlung seien ihm vom Richter zehn Minuten eingeräumt worden, die schriftliche Duplik der Beschwerdegegnerin zu studieren. Die gewährte Zeitperiode sei für ihn als Laien nicht geeignet, die von einem Anwalt verfasste Duplikschrift zu lesen und anschliessend darauf zu reagieren. Er habe bereits in der Hauptverhandlung "ganz entschieden" gegen die Verhandlungsführung des Richters protestiert. Die Erstinstanz hätte richtigerweise die Verhandlung abbrechen und diese auf einen späteren Zeitpunkt verschieben müssen. Die Vorinstanz habe demnach die Verletzung seines Gehörsanspruchs zu Unrecht verneint.</w:t>
      </w:r>
    </w:p>
    <w:p>
      <w:r>
        <w:rPr>
          <w:b/>
        </w:rPr>
        <w:t>E. 3.2</w:t>
      </w:r>
    </w:p>
    <w:p>
      <w:r>
        <w:t>Gemäss Art. 29 Abs. 2 BV steht den Parteien das rechtliche Gehör zu. Der Anspruch auf rechtliches Gehör ist formeller Natur, womit seine Verletzung ungeachtet der materiellen Begründetheit des Rechtsmittels zur Gutheissung der Beschwerde und zur Aufhebung des angefochtenen Entscheids führt ( BGE 143 IV 380 E. 1.4.1; 142 II 218 E. 2.8.1 ; 135 I 187 E. 2.2), wenn eine Heilung in oberer Instanz ausser Betracht fällt (zu den Voraussetzungen: BGE 142 II 218 E. 2.8.1).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Urteile 5A_561/2018 vom 14. Dezember 2018 E. 2.3; 4A_85/2018 vom 4. September 2018 E. 5; 4A_112/2018 vom 20. Juni 2018 E. 3.2).</w:t>
      </w:r>
    </w:p>
    <w:p>
      <w:r>
        <w:t>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in der Begründung des Rechtsmittels angibt, welche Vorbringen sie in das kantonale Verfahren bei Gewährung des rechtlichen Gehörs eingeführt hätte und inwiefern diese hätten erheblich sein können (Urteile 5D_74/2019 vom 29. Mai 2019 E. 4.2; 5A_923/2018 vom 6. Mai 2019 E. 4.2.1; 5A_967/2018 vom 28. Januar 2019 E. 3.1.2; 5A_561/2018 vom 14. Dezember 2018 E. 2.3; 5A_699/2017 vom 24. Oktober 2017 E. 3.1.3; 4A_453/2016 vom 16. Februar 2017 E. 4.2.3; 4P.189/2002 vom 9. Dezember 2002 E. 3.2.3).</w:t>
      </w:r>
    </w:p>
    <w:p>
      <w:r>
        <w:rPr>
          <w:b/>
        </w:rPr>
        <w:t>E. 3.3</w:t>
      </w:r>
    </w:p>
    <w:p>
      <w:r>
        <w:t>Der Beschwerdeführer begnügt sich pauschal geltend zu machen, dass sein Anspruch auf rechtliches Gehör verletzt sei, da ihm die Erstinstanz vor der Hauptverhandlung zu wenig Zeit gewährt habe, sich mit der Duplikschrift der Beschwerdegegnerin auseinanderzusetzen. Er zeigt aber in der Beschwerde vor Bundesgericht nicht ansatzweise auf, welche Vorbringen er in das kantonale Verfahren eingeführt hätte, wenn ihm mehr Zeit gewährt worden wäre, sich mit der gegnerischen Eingabe zu befassen, und inwiefern diese Vorbringen hätten erheblich sein können. Auf seine Rüge einer Verletzung des rechtlichen Gehörs ist daher nicht einzutreten.</w:t>
      </w:r>
    </w:p>
    <w:p>
      <w:r>
        <w:t>Inwiefern vorliegend die Bestimmung von Art. 247 ZPO verletzt wäre, legt der Beschwerdeführer nicht dar, zumindest nicht hinreichend (Erwägung 2), sodass auch darauf nicht einzutreten ist.</w:t>
      </w:r>
    </w:p>
    <w:p>
      <w:r>
        <w:rPr>
          <w:b/>
        </w:rPr>
        <w:t>E. 4.1</w:t>
      </w:r>
    </w:p>
    <w:p>
      <w:r>
        <w:t>Der Beschwerdeführer rügt sodann eine Verletzung von Art. 152 ZPO , da die Vorinstanzen die von ihm beantragten Zeugen in antizipierter Beweiswürdigung nicht einvernommen haben.</w:t>
      </w:r>
    </w:p>
    <w:p>
      <w:r>
        <w:rPr>
          <w:b/>
        </w:rPr>
        <w:t>E. 4.2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S. 332; 133 III 295 E. 7.1). Diese Bestimmungen schreiben jedoch dem Gericht nicht vor, mit welchen Mitteln es den Sachverhalt abzuklären hat (vgl. BGE 114 II 289 E. 2a S. 291) und sie schliessen namentlich die antizipierte Beweiswürdigung nicht aus ( BGE 143 III 297 E. 9.3.2 S. 332).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141 I 60 E. 3.3 ; 136 I 229 E. 5.3).</w:t>
      </w:r>
    </w:p>
    <w:p>
      <w:r>
        <w:t>Der Beschwerdeführer rügt einzig eine Verletzung von Art. 152 ZPO . Inwiefern die antizipierte Beweiswürdigung aber willkürlich wäre, zeigt er nicht auf, zumindest nicht hinreichend (Erwägung 2). Die Rüge geht damit fehl.</w:t>
      </w:r>
    </w:p>
    <w:p>
      <w:r>
        <w:rPr>
          <w:b/>
        </w:rPr>
        <w:t>E. 5</w:t>
      </w:r>
    </w:p>
    <w:p>
      <w:r>
        <w:t>Nach dem Ausgeführten ist die Beschwerde abzuweisen, soweit auf sie überhaupt eingetreten werden kann.</w:t>
      </w:r>
    </w:p>
    <w:p>
      <w:r>
        <w:rPr>
          <w:b/>
        </w:rPr>
        <w:t>E. 6</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7</w:t>
      </w:r>
    </w:p>
    <w:p>
      <w:r>
        <w:t>Bei diesem Ausgang des Verfahrens wird der Beschwerdeführer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