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4A_436/2007 vom 9. Januar 2008</w:t>
      </w:r>
    </w:p>
    <w:p>
      <w:r>
        <w:t>Bundesgericht, 2008-01-09, FR</w:t>
      </w:r>
    </w:p>
    <w:p>
      <w:r>
        <w:rPr>
          <w:b/>
        </w:rPr>
        <w:t xml:space="preserve">Quelle: </w:t>
      </w:r>
      <w:r>
        <w:t>https://mcp.opencaselaw.ch/entscheid/bger_4A_436_2007</w:t>
      </w:r>
    </w:p>
    <w:p>
      <w:r>
        <w:t>FR: TF 4A_436/2007 du 9 janvier 2008</w:t>
      </w:r>
    </w:p>
    <w:p>
      <w:r>
        <w:t>IT: TF 4A_436/2007 del 9 gennaio 2008</w:t>
      </w:r>
    </w:p>
    <w:p>
      <w:pPr>
        <w:pStyle w:val="Heading2"/>
      </w:pPr>
      <w:r>
        <w:t>Erwägungen</w:t>
      </w:r>
    </w:p>
    <w:p>
      <w:r>
        <w:rPr>
          <w:b/>
        </w:rPr>
        <w:t>E. 1</w:t>
      </w:r>
    </w:p>
    <w:p>
      <w:r>
        <w:t>Au regard de l' art. 92 al. 1 LTF , l'arrêt de la Cour de justice est une décision incidente concernant la compétence du Tribunal de première instance; il est susceptible de recours selon cette disposition.</w:t>
      </w:r>
    </w:p>
    <w:p>
      <w:r>
        <w:t>Pour le surplus, le recours est dirigé contre un jugement rendu en matière civile ( art. 72 al. 1 LTF ) et en dernière instance cantonale ( art. 75 al. 1 LTF ). La valeur litigieuse excède le minimum légal de 30'000 fr. ( art. 51 al. 1 let . c et 74 al. 1 let. b LTF). Il est formé par une partie qui a pris part à l'instance précédente et succombé dans ses conclusions ( art. 76 al. 1 LTF ). Déposé en temps utile ( art. 100 al. 1 LTF ) et dans les formes requises (art. 42 al. 1 à 3 LTF), le recours est en principe recevable.</w:t>
      </w:r>
    </w:p>
    <w:p>
      <w:r>
        <w:t>Le recours peut être exercé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conformément aux exigences légales relatives à la motivation du recours ( art. 42 al. 2 LTF ; ATF 133 II 249 consid. 1.4.1 p. 254) et il ne se prononce sur la violation de droits fondamentaux que s'il se trouve saisi d'un grief invoqué et motivé de façon détaillée ( art. 106 al. 2 LTF ; même arrêt, consid. 1.4.2). Il conduit son raisonnement juridique sur la base des faits constatés dans la décision attaquée ( art. 105 al. 1 LTF ).</w:t>
      </w:r>
    </w:p>
    <w:p>
      <w:r>
        <w:rPr>
          <w:b/>
        </w:rPr>
        <w:t>E. 2</w:t>
      </w:r>
    </w:p>
    <w:p>
      <w:r>
        <w:t>D'après l'art. 7 de la loi fédérale sur le droit international privé (LDIP; RS 291), les tribunaux étatiques suisses doivent décliner leur compétence lorsqu'ils se trouvent saisis d'un différend arbitrable et que les parties ont conclu une convention d'arbitrage visant ce différend. En diverses hypothèses, prévues à l'art. 7 let. a à c LDIP, le tribunal étatique admet sa compétence nonobstant la convention d'arbitrage; tel est le cas, en particulier, s'il constate que cette convention est caduque, inopérante ou non susceptible d'être appliquée ( art. 7 let. b LDIP ).</w:t>
      </w:r>
    </w:p>
    <w:p>
      <w:r>
        <w:t>Les précédents juges retiennent qu'en l'espèce, une convention d'arbitrage a été conclue entre les parties le 11 juillet 1997; qu'en raison du domicile des époux Y.________ dans un Etat étranger, à cette époque, cette convention relève de l'arbitrage international selon l' art. 176 al. 1 LDIP ; que le siège du tribunal arbitral étant prévu en Suisse, l'exception soulevée par la défenderesse ne relève pas de l'art. II ch. 3 de la convention de New-York pour la reconnaissance et l'exécution des sentences arbitrales étrangères (RS 0.277.12); qu'enfin, cette exception est donc régie par l' art. 7 LDIP ci-mentionné. Ces points sont incontestés et il n'y a donc pas lieu d'y revenir.</w:t>
      </w:r>
    </w:p>
    <w:p>
      <w:r>
        <w:rPr>
          <w:b/>
        </w:rPr>
        <w:t>E. 3</w:t>
      </w:r>
    </w:p>
    <w:p>
      <w:r>
        <w:t>La défenderesse reproche à la Cour de justice d'avoir violé l' art. 7 let. b LDIP en retenant que la convention d'arbitrage ne vise pas l'action introduite contre elle le 19 octobre 2006.</w:t>
      </w:r>
    </w:p>
    <w:p>
      <w:r>
        <w:t>Selon son libellé, la convention passée le 11 juillet 1997 vise « tous litiges qui résulteraient du présent mandat », lequel portait sur « toute démarche en vue d'une domiciliation (permis B) à Genève ». L'expression « toute démarche » est fort imprécise; néanmoins, on peut retenir que l'accomplissement du mandat s'est achevé au plus tard lorsque les époux Y.________ ont obtenu des permis de séjour et se sont effectivement installés à Genève. En effet, le résultat souhaité par eux était alors atteint.</w:t>
      </w:r>
    </w:p>
    <w:p>
      <w:r>
        <w:t>Au cours de l'année 1998, en s'enquérant de l'incidence fiscale d'une acquisition d'immeubles, les époux Y.________ ont derechef attribué un mandat à la défenderesse. Cette mission supplémentaire présentait un lien avec le mandat initial concernant la domiciliation des mêmes personnes à Genève, en tant que l'avocate connaissait leur situation fiscale pour l'avoir personnellement négociée avec l'administration compétente. Néanmoins, ce mandat initial était alors achevé. La défenderesse devait donc accomplir un mandat nouveau et distinct, qui n'était pas celui désigné dans la convention du 11 juillet 1997. Par conséquent, conformément au jugement de la Cour de justice, la convention ne vise pas le différend existant actuellement sur l'exécution censément défectueuse de ce nouveau mandat.</w:t>
      </w:r>
    </w:p>
    <w:p>
      <w:r>
        <w:t>Selon la jurisprudence relative à l' art. 7 let. b LDIP , en vue de constater que la convention d'arbitrage est, le cas échéant, caduque, inopérante ou non susceptible d'être appliquée, le tribunal étatique doit se borner à un examen sommaire de cette convention car un examen plus approfondi est en principe réservé au tribunal arbitral prévu par elle ( ATF 122 III 139 consid. 2b p. 142; Werner Wenger et Markus Schott, Commentaire bâlois, 2e éd., ch. 7a et 7b ad art. 186 LDIP ). Cela concerne aussi, semble-t-il, le point de vérifier si la convention vise le différend des parties. A tort, la défenderesse reproche à la Cour de justice d'avoir méconnu les limites d'un examen sommaire. En effet, on constate aisément et sans étude approfondie que la convention du 11 juillet 1997 ne vise pas le différend relatif aux renseignements donnés par la défenderesse en 1998, concernant l'incidence fiscale d'une acquisition d'immeubles; à cette fin, un examen sommaire est entièrement suffisant. Le moyen tiré de l' art. 7 let. b LDIP est donc privé de fondement.</w:t>
      </w:r>
    </w:p>
    <w:p>
      <w:r>
        <w:rPr>
          <w:b/>
        </w:rPr>
        <w:t>E. 4</w:t>
      </w:r>
    </w:p>
    <w:p>
      <w:r>
        <w:t>La défenderesse soutient qu'elle n'a pas eu l'occasion de se prononcer sur le raisonnement juridique adopté par la Cour de justice; elle se plaint de violation de l' art. 29 al. 2 Cst.</w:t>
      </w:r>
    </w:p>
    <w:p>
      <w:r>
        <w:t>Le droit d'être entendu garanti par cette disposition constitutionnelle confère à toute personne le droit de s'expliquer avant qu'une décision ne soit prise à son détriment, d'avoir accès au dossier, d'offrir des preuves quant aux faits de nature à influer sur la décision, de participer à l'administration des preuves et de se déterminer à leur propos ( ATF 129 II 497 consid. 2.2 p. 504; 127 I 54 consid. 2b p. 56; 126 I 97 consid. 2b p. 102). En règle générale, la personne visée n'est pas obligatoirement invitée à se prononcer sur l'appréciation juridique des faits ni, plus généralement, sur l'argumentation juridique à retenir; l'autorité doit toutefois l'interpeller lorsqu'elle envisage de fonder sa décision sur une règle ou sur un motif juridique qui n'a pas été évoqué au cours de la procédure, quand aucune des parties ne s'en est prévalue ni ne pouvait en supputer la pertinence ( ATF 115 Ia 94 consid. 1b p. 96/97; voir aussi ATF 131 V 9 consid. 5.4.1 p. 26; 129 II 497 consid. 2.2 p. 505).</w:t>
      </w:r>
    </w:p>
    <w:p>
      <w:r>
        <w:t>Appliquant l' art. 7 LDIP , le Tribunal de première instance a consacré son appréciation au point de vérifier si la convention d'arbitrage vise le différend des parties. L'appel de la défenderesse portait exactement sur cette question juridique. L'appelante pouvait et devait prévoir que la Cour de justice discuterait éventuellement, outre la portée des mots « tous litiges » dans la convention, celle des mots « du présent mandat »; elle ne peut donc pas, de bonne foi, se prétendre surprise par le raisonnement de cette autorité. Ainsi, le moyen tiré de l' art. 29 al. 2 Cst. est lui aussi voué à l'échec.</w:t>
      </w:r>
    </w:p>
    <w:p>
      <w:r>
        <w:rPr>
          <w:b/>
        </w:rPr>
        <w:t>E. 5</w:t>
      </w:r>
    </w:p>
    <w:p>
      <w:r>
        <w:t>A titre de partie qui succombe, la défenderesse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