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434/2019 vom 17. Oktober 2019</w:t>
      </w:r>
    </w:p>
    <w:p>
      <w:r>
        <w:t>Bundesgericht, 2019-10-17, DE</w:t>
      </w:r>
    </w:p>
    <w:p>
      <w:r>
        <w:rPr>
          <w:b/>
        </w:rPr>
        <w:t xml:space="preserve">Quelle: </w:t>
      </w:r>
      <w:r>
        <w:t>https://mcp.opencaselaw.ch/entscheid/bger_4A_434_2019</w:t>
      </w:r>
    </w:p>
    <w:p>
      <w:r>
        <w:t>FR: TF 4A 434/2019 du 17 octobre 2019</w:t>
      </w:r>
    </w:p>
    <w:p>
      <w:r>
        <w:t>IT: TF 4A 434/2019 del 17 ottobre 2019</w:t>
      </w:r>
    </w:p>
    <w:p>
      <w:pPr>
        <w:pStyle w:val="Heading2"/>
      </w:pPr>
      <w:r>
        <w:t>Regeste</w:t>
      </w:r>
    </w:p>
    <w:p>
      <w:r>
        <w:t>Aberkennungsklage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Parteien schlossen am 22. August 2011 einen Privatkreditvertrag ab. Darin anerkannten die Beschwerdeführer, vom Beschwerdegegner "als Privatkredit den Betrag von CHF 117'000.00, zuzüglich 11.9 % Zins p.a. CHF 36'666.00, Total CHF 153'666.00" erhalten zu haben und dem Beschwerdegegner zu schulden. Strittig war vor der Vorinstanz, ob die Beschwerdeführer dem Beschwerdegegner aus diesem Vertrag noch Fr. 53'783.10 nebst Verzugszins schulden. Die Beschwerdeführer machten geltend, der Privatkreditvertrag gebe nicht die tatsächliche Vereinbarung zwischen den Parteien und damit nicht deren wirklichen Willen wieder. Die Vorinstanz kam zum Schluss, dass von den Fr. 117'000.-- "Privatkredit" gemäss schriftlichem Vertrag unbestrittener- und erwiesenermassen nur Fr. 100'000.-- Darlehen seien. Insofern hätten sich die Parteien tatsächlich übereinstimmend verstanden und sich in diesem Verständnis auch tatsächlich geeinigt. Ebenso sei ein tatsächlicher Konsens betreffend den Zins von Fr. 36'666.-- erstellt. Auch müssten sich die Parteien offensichtlich einig gewesen sein, dass weitere Fr. 17'000.-- geschuldet seien, insgesamt also Fr. 153'666.--. Nur so lasse sich das nachträgliche Zahlungsverhalten der Beschwerdeführer interpretieren. Bei den Fr. 17'000.--- handle es sich neben den Fr. 36'666.-- "Zins im engeren Sinn" um "Darlehenszins im weiteren Sinn". Der Zins für das Darlehen von Fr. 100'000.-- betrage damit Fr. 53'666.--. Das ergebe einen effektiven Jahreszins von 20.91 %. Ein solch hoher Zins sei sittenwidrig. Der Zins sei daher wenigstens auf den erlaubten Höchstzinssatz von 18 % herabzusetzen. Entsprechend betrage die Schuld der Beschwerdeführer nicht Fr. 153'666.--, sondern Fr. 143'013.--. Abzüglich der geleisteten Zahlungen ergebe dies einen Fehlbetrag von Fr. 42'102.25.</w:t>
      </w:r>
    </w:p>
    <w:p>
      <w:r>
        <w:rPr>
          <w:b/>
        </w:rPr>
        <w:t>E. 4.1</w:t>
      </w:r>
    </w:p>
    <w:p>
      <w:r>
        <w:t>Dagegen stellen sich die Beschwerdeführer vor Bundesgericht auf den Standpunkt, dass es für den Nachweis, ob die Parteien in ihrem Willen übereinstimmten, nicht allein auf die Höhe der nachträglich bezahlten Raten ankommen könne. Entscheidend sei, ob die Parteien bei Vertragsschluss einen gemeinsamen Willen gehabt haben. Die Feststellung dieses Willens sei eine Tatfrage. An das Bundesgericht könne indessen eine vorinstanzliche Feststellung weitergezogen werden, die offensichtlich unrichtig sei. Dies sei vorliegend der Fall. Die vorinstanzliche Beweiserhebung zur Vertragseinigung genüge sodann den "Beweisanforderungen" nicht und die Auslegung des Vertragswillens sei "fehlerhaft".</w:t>
      </w:r>
    </w:p>
    <w:p>
      <w:r>
        <w:rPr>
          <w:b/>
        </w:rPr>
        <w:t>E. 4.2</w:t>
      </w:r>
    </w:p>
    <w:p>
      <w:r>
        <w:t>Der Inhalt eines Vertrages bestimmt sich in erster Linie durch subjektive Auslegung, das heisst nach dem übereinstimmenden wirklichen Parteiwillen ( Art. 18 Abs. 1 OR ; BGE 144 III 43 E. 3.3 S. 49). Diese subjektive Vertragsauslegung beruht auf Beweiswürdigung, die vorbehältlich der Ausnahmen von Art. 97 und 105 BGG der bundesgerichtlichen Überprüfung entzogen ist ( BGE 142 III 239 E. 5.2.1). Die Beschwerdeführer bezeichnen die vorinstanzliche Beweiswürdigung lediglich als "fehlerhaft" und "offensichtlich unrichtig", da es für einen übereinstimmenden wirklichen Willen nicht nur auf das nachträgliche Zahlungsverhalten ankomme. Damit beanstanden sie die Feststellung des übereinstimmenden wirklichen Willens durch die Vorinstanz nicht hinreichend. Vielmehr hätten sie an der ausführlichen Beweiswürdigung der Vorinstanz ansetzen müssen und im Einzelnen aufzeigen sollen, inwiefern sie offensichtlich unrichtig ist (dazu Erwägung 2.1). Es bleibt damit bei dem von der Vorinstanz festgestellten übereinstimmenden Willen der Parteien. Steht eine tatsächliche Willensübereinstimmung fest, bleibt für eine Auslegung nach dem Vertrauensgrundsatz kein Raum ( BGE 132 III 626 E. 3.1; 128 III 70 E. 1a S. 73). Auf die Ausführungen der Beschwerdeführer zur Auslegung nach dem Vertrauensprinzip braucht damit nicht eingetreten zu werden.</w:t>
      </w:r>
    </w:p>
    <w:p>
      <w:r>
        <w:rPr>
          <w:b/>
        </w:rPr>
        <w:t>E. 5.1</w:t>
      </w:r>
    </w:p>
    <w:p>
      <w:r>
        <w:t>Die Beschwerdeführer bringen vor, der Beschwerdegegner habe zu beweisen, dass er die Darlehenssumme tatsächlich überwiesen habe und zu welchem Zeitpunkt. Auch die Zinspflicht könne in der Regel erst ab dem Zeitpunkt zu laufen beginnen, ab dem die entsprechende Geldsumme ausbezahlt worden sei. Der Beschwerdegegner sei im vorinstanzlichen Verfahren diesen Beweis schuldig geblieben. Die Vorinstanz gehe alsdann zu Unrecht davon aus, dass die im Privatkreditvertrag statuierte Zinspflicht unabhängig davon gelte, ob den Beschwerdeführern die Summe überhaupt ausbezahlt worden sei.</w:t>
      </w:r>
    </w:p>
    <w:p>
      <w:r>
        <w:rPr>
          <w:b/>
        </w:rPr>
        <w:t>E. 5.2</w:t>
      </w:r>
    </w:p>
    <w:p>
      <w:r>
        <w:t>Entgegen der Auffassung der Beschwerdeführer legte die Vorinstanz sehr wohl dar, dass die Darlehenssumme von Fr. 100'000.-- vom Beschwerdegegner ausbezahlt wurde. Sie erwog nämlich, es sei erstellt, dass der Beschwerdegegner den Beschwerdeführern den Betrag von Fr. 20'126.85 bar ausbezahlt habe. Die Vorinstanz erwog im Weiteren, dass die Parteien für den darüber hinausgehenden Betrag im Umfang von Fr. 79'152.15 übereingekommen seien, dass die Darlehensvaluta direkt an die Gläubiger der Beschwerdeführer ausgerichtet werde. Auch diesbezüglich sei erstellt, dass der Beschwerdegegner Schulden der Beschwerdeführer im Betrag von insgesamt Fr. 79'152.15 bezahlt habe. Diese beiden Beträge würden eine Summe von Fr. 99'279.-- ergeben. Die Vorinstanz legte schliesslich dar, wie die Differenz von Fr. 721.-- zu Fr. 100'000.-- zu erklären sei. Die Rüge der Beschwerdeführer, dass der Beschwerdegegner den Beweis für die Auszahlung schuldig geblieben sei, erweist sich somit als unzutreffend. Die vorinstanzliche Beweiswürdigung, dass der Darlehensbetrag von Fr. 100'000.-- ausbezahlt wurde, beanstanden die Beschwerdeführer nicht hinreichend. Sie behaupten bloss, dass dem Beschwerdegegner der Beweis nicht gelungen sei, und sie präsentieren dem Bundesgericht eine eigene, von der Berechnung der Vorinstanz abweichende Kalkulation (Erwägung 2.1). Soweit die Beschwerdeführer mit ihren Ausführungen den Zinsenlauf in Frage stellen möchten, geht ihre Rüge fehl: Die Vorinstanz kam zum Schluss, dass sowohl ein tatsächlicher Konsens über die Darlehensvaluta von Fr. 100'000.-- als auch über den Zins von Fr. 53'666.-- feststehe (dazu Erwägung 3 und 4). Diesen Erwägungen stellen die Beschwerdeführer bloss ihre eigene Berechnung entgegen und behaupten, dass "in der Regel" die Zinspflicht erst ab dem Zeitpunkt der Auszahlung der Darlehenssumme zu laufen beginne. Damit beanstanden sie die vorinstanzliche Beweiswürdigung nicht hinreichend (Erwägung 2.1).</w:t>
      </w:r>
    </w:p>
    <w:p>
      <w:r>
        <w:rPr>
          <w:b/>
        </w:rPr>
        <w:t>E. 6</w:t>
      </w:r>
    </w:p>
    <w:p>
      <w:r>
        <w:t>Die Beschwerdeführer rügen schliesslich, dass die Vorinstanz auf Seite 25 des angefochtenen Entscheids "offensichtlich aktenwidrig" rechne. Die monatliche Rate betrage nicht Fr. 2'433.55, sondern Fr. 2'561.10. Auch diese Rüge ist unbegründet. Richtig ist zwar, dass die Beschwerdeführer jeweils Raten von Fr. 2'561.10 zahlten, wie die Vorinstanz auch zutreffend feststellte. Die Vorinstanz erwog aber, dass der vereinbarte Zinssatz zu hoch und daher herabzusetzen sei. Mit dem reduzierten Zinssatz gerechnet betrage die Monatsrate für den Kredit Fr. 2'433.55. Von dieser herabgesetzten Monatsrate spricht die Vorinstanz an der beanstandeten Stelle. Von Aktenwidrigkeit kann keine Rede sein.</w:t>
      </w:r>
    </w:p>
    <w:p>
      <w:r>
        <w:rPr>
          <w:b/>
        </w:rPr>
        <w:t>E. 7</w:t>
      </w:r>
    </w:p>
    <w:p>
      <w:r>
        <w:t>Nach dem Ausgeführten ist die Beschwerde abzuweisen, soweit auf sie überhaupt eingetreten werden kann. Bei diesem Ausgang des Verfahrens werden die Beschwerdeführer in solidarischer Haftung kostenpflichtig ( Art. 66 Abs. 1 und 5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