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4A_434/2017 vom 14. Dezember 2017</w:t>
      </w:r>
    </w:p>
    <w:p>
      <w:r>
        <w:t>Bundesgericht, 2017-12-14, DE</w:t>
      </w:r>
    </w:p>
    <w:p>
      <w:r>
        <w:rPr>
          <w:b/>
        </w:rPr>
        <w:t xml:space="preserve">Quelle: </w:t>
      </w:r>
      <w:r>
        <w:t>https://mcp.opencaselaw.ch/entscheid/bger_4A_434_2017</w:t>
      </w:r>
    </w:p>
    <w:p>
      <w:r>
        <w:t>FR: TF 4A_434/2017 du 14 décembre 2017</w:t>
      </w:r>
    </w:p>
    <w:p>
      <w:r>
        <w:t>IT: TF 4A_434/2017 del 14 dicembre 2017</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(Art. 75BGG). Der Streitwert übersteigt den Betrag von Fr. 15'000.-- ( Art. 74 Abs. 1 lit. a BGG ). Die Rechtsbegehren des Beschwerdeführers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1.3</w:t>
      </w:r>
    </w:p>
    <w:p>
      <w:r>
        <w:t>Der Beschwerdeführer verkennt diese Grundsätze in seiner Beschwerdeschrift über weite Strecken. In Bezug auf den geltend gemachten Anspruch auf Auszahlung eines anteilsmässigen 13. Monatslohnes stellt er dem vorinstanzlich festgestellten Sachverhalt lediglich seine Sicht der Dinge gegenüber, ohne Ausnahmen von der Sachverhaltsbindung geltend zu machen. Die entsprechenden Ausführungen in der Beschwerdeschrift haben daher unberücksichtigt zu bleiben. An einer Stelle behauptet er zwar, die von der Beschwerdegegnerin irregulär getätigte Zahlung von Fr. 1'200.-- habe offensichtlich nicht der Abgeltung des anteilsmässigen 13. Monatslohnes gedient, unterlässt es jedoch, substanziiert aufzuzeigen, inwiefern dies der Fall sein soll.</w:t>
      </w:r>
    </w:p>
    <w:p>
      <w:r>
        <w:t>Insoweit der Beschwerdeführer vorbringt, nicht der Arbeitnehmer habe den Nachweis zu erbringen, dass unter dem Titel 13. Monatslohn keine Zahlungen erfolgt sind, sondern die Arbeitgeberin habe zu beweisen, dass der anteilsmässige 13. Monatslohn bezahlt wurde, verkennt er, dass die Vorinstanz von ebendieser Beweislastverteilung ausging. R ichtig besehen beanstandet der Beschwerdeführer mit seinen Vorbringen das Ergebnis der vorinstanzlichen Beweiswürdigung, indem er ausführt, dass der Vorinstanz insoweit nicht gefolgt werden könne, als sie annahm, der Beschwerdeführer habe den ihm vertraglich zustehenden Lohn erhalten. Dass die von Sachgerichten gezogenen Schlüsse nicht mit der eigenen Darstellung übereinstimmen, belegt indessen keine Willkür ( BGE 140 III 264 E. 2.3 S. 266 mit Hinweisen). Somit ist von der willkürfreien Feststellung der Vorinstanz auszugehen, dass der anteilsmässige 13. Monatslohn durch die irregulär geleisteten Zahlungen der Beschwerdegegnerin abgegolten wurde.</w:t>
      </w:r>
    </w:p>
    <w:p>
      <w:r>
        <w:rPr>
          <w:b/>
        </w:rPr>
        <w:t>E. 2</w:t>
      </w:r>
    </w:p>
    <w:p>
      <w:r>
        <w:t>Der Beschwerdeführer rügt, die von der Beschwerdegegnerin kurzfristig kommunizierten arbeitsfreien Tage seien als Annahmeverzug ihrerseits zu qualifizieren. Er bringt vor, dass beispielsweise die arbeitsfreien Tage vom 4. bis 10. Februar 2013 Ende Januar 2013 kommuniziert worden seien, also nur ungefähr eine Woche im Voraus. Eine derart kurzfristige Anordnung von Ruhetagen müsse vom Arbeitnehmer nicht als Anordnung von Ferien aufgefasst werden. Die Planung von Ferienaktivitäten sei bei einer derart kurzfristigen Anordnung ausgeschlossen und würde den Erholungszweck der Ferien verunmöglichen.</w:t>
      </w:r>
    </w:p>
    <w:p>
      <w:r>
        <w:rPr>
          <w:b/>
        </w:rPr>
        <w:t>E. 2.1</w:t>
      </w:r>
    </w:p>
    <w:p>
      <w:r>
        <w:t>Die Ferien sind in der Regel im Verlauf des betreffenden Dienstjahres zu gewähren; wenigstens zwei Ferienwochen müssen zusammenhängen ( Art. 329c Abs. 1 OR ). Der Arbeitgeber bestimmt den Zeitpunkt der Ferien und nimmt dabei auf die Wünsche des Arbeitnehmers soweit Rücksicht, als dies mit den Interessen des Betriebes vereinbar ist ( Art. 329c Abs. 2 OR ). Übergeht der Arbeitgeber bei der Festsetzung der Ferien die Wünsche des Arbeitnehmers oder ordnet er die Ferien zu kurzfristig an, ist der Arbeitnehmer berechtigt, den Ferienbezug zu verweigern. Der Arbeitnehmer hat jedoch unverzüglich sein Widerspruchsrecht auszuüben und während der Ferien seine Dienste anzubieten, ansonsten von einem Verzicht beziehungsweise Einverständnis auszugehen ist (MANFRED REHBINDER/JEAN-FRITZ STÖCKLI, Berner Kommentar, 2010, N. 10 zu Art. 329c OR ; ADRIAN STAEHELIN, Zürcher Kommentar, 4. Aufl. 2006, N. 10 zu Art. 329c OR ; ULLIN STREIFF/ADRIAN VON KAENEL/ROGER RUDOLPH, Arbeitsvertrag, Praxiskommentar zu Art. 319-362 OR , 7. Aufl. 2012, N. 7 zu Art. 329c OR S. 670).</w:t>
      </w:r>
    </w:p>
    <w:p>
      <w:r>
        <w:rPr>
          <w:b/>
        </w:rPr>
        <w:t>E. 2.2.1</w:t>
      </w:r>
    </w:p>
    <w:p>
      <w:r>
        <w:t>Die Vorinstanz führte aus, der Beschwerdeführer habe nie behauptet, sich gegen die von der Beschwerdegegnerin festgelegten arbeitsfreien Tage zur Wehr gesetzt oder seine Dienste angeboten zu haben. Dies wäre aber Voraussetzung für einen Anspruch auf Feriennachbezug in entsprechendem Umfang aufgrund Annahmeverzugs der Beschwerdegegnerin gewesen. Mithin dürfe mangels sofortiger Einsprache durch den Beschwerdeführer sein Einverständnis mit den angeordneten Ferientagen angenommen werden.</w:t>
      </w:r>
    </w:p>
    <w:p>
      <w:r>
        <w:rPr>
          <w:b/>
        </w:rPr>
        <w:t>E. 2.2.2</w:t>
      </w:r>
    </w:p>
    <w:p>
      <w:r>
        <w:t>Es ist unstrittig, dass der Beschwerdeführer während des Arbeitsverhältnisses weder gegen die von der Beschwerdegegnerin angeordneten arbeitsfreien Tage Einsprache erhob, noch seine Arbeitsleistung anbot. Demnach schloss die Vorinstanz in richtiger Anwendung von Bundesrecht, dass mangels Einwendungen des Beschwerdeführers angenommen werden konnte, er sei mit den von der Beschwerdegegnerin gewährten Ferien einverstanden. Entgegen der Ansicht des Beschwerdeführers handelt es sich hierbei um einen normativen Konsens und somit um eine Rechtsfrage, weshalb seine Rüge, die Vorinstanz stelle den Sachverhalt willkürlich fest, insoweit sie von einer konkludenten Vereinbarung über die Anordnung des Ferienbezugs ausgehe, nicht verfängt.</w:t>
      </w:r>
    </w:p>
    <w:p>
      <w:r>
        <w:rPr>
          <w:b/>
        </w:rPr>
        <w:t>E. 2.2.3</w:t>
      </w:r>
    </w:p>
    <w:p>
      <w:r>
        <w:t>Das Vorbringen des Beschwerdeführers, angesichts der unklaren Kommunikation der Beschwerdegegnerin könne ihm nicht vorgeworfen werden, gegen die arbeitsfreien Tage keine Einsprache erhoben zu haben, führt ebenfalls ins Leere. Ihm ist zwar insofern zu folgen, als er vorbringt, er habe keine Ferien angetreten, sondern lediglich an den von der Beschwerdegegnerin angeordneten Ruhetagen nicht gearbeitet. So stellte die Vorinstanz fest, die Beschwerdegegnerin habe nicht immer klar kommuniziert, ob Tage, an denen der Beschwerdeführer keine Arbeit leisten musste bzw. leistete, als Ferien angerechnet wurden und welchen Restferienanspruch der Kläger noch hatte, weshalb sein Ferienanspruch grundsätzlich unberührt bleibe und er sich die bezogenen freien Tage nicht als echte Ferien anrechnen lassen müsse. Sie schloss indessen unter Hinweis auf Urteil 4C.255/2006 vom 2. Oktober 2006 E. 3.2, dass die unklar kommunizierten freien Tage zwar keine Ferien im engeren Sinn darstellten, der Entschädigungsanspruch aus nicht bezogenen Ferien sich jedoch mangels Arbeitsleistung in entsprechendem Umfang verringere.</w:t>
      </w:r>
    </w:p>
    <w:p>
      <w:r>
        <w:t>Entgegen der Ansicht des Beschwerdeführers ist die von der Vorinstanz zitierte Rechtsprechung einschlägig, denn mangels rechtzeitiger Einsprache seinerseits kann vorliegend nicht massgebend sein, ob die zu viel bezogenen Ruhetage auf eine mangelhafte Arbeitsplanung der Beschwerdegegnerin zurückzuführen sein sollten. Demnach ist es bundesrechtlich nicht zu beanstanden, wenn die Vorinstanz den Entschädigungsanspruch aus nicht bezogenen Ferien um diejenigen unklar kommunizierten freien Tage, die zwar nicht eindeutig als Ferienbezug gelten können, an denen der Beschwerdeführer aber unbestrittenermassen nicht arbeitete, in entsprechendem Umfang als verringert betrachtete (vgl. Urteil 4C.255/2006 vom 2. Oktober 2006 E. 3.2).</w:t>
      </w:r>
    </w:p>
    <w:p>
      <w:r>
        <w:rPr>
          <w:b/>
        </w:rPr>
        <w:t>E. 3</w:t>
      </w:r>
    </w:p>
    <w:p>
      <w:r>
        <w:t>Die Beschwerde ist abzuweisen, soweit darauf eingetreten werden kann. Ausgangsgemäss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