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4A_434/2012 vom 7. November 2012</w:t>
      </w:r>
    </w:p>
    <w:p>
      <w:r>
        <w:t>Bundesgericht, 2012-11-07, FR</w:t>
      </w:r>
    </w:p>
    <w:p>
      <w:r>
        <w:rPr>
          <w:b/>
        </w:rPr>
        <w:t xml:space="preserve">Quelle: </w:t>
      </w:r>
      <w:r>
        <w:t>https://mcp.opencaselaw.ch/entscheid/bger_4A_434_2012</w:t>
      </w:r>
    </w:p>
    <w:p>
      <w:r>
        <w:t>FR: TF 4A_434/2012 du 7 novembre 2012</w:t>
      </w:r>
    </w:p>
    <w:p>
      <w:r>
        <w:t>IT: TF 4A_434/2012 del 7 novembre 2012</w:t>
      </w:r>
    </w:p>
    <w:p>
      <w:pPr>
        <w:pStyle w:val="Heading2"/>
      </w:pPr>
      <w:r>
        <w:t>Erwägungen</w:t>
      </w:r>
    </w:p>
    <w:p>
      <w:r>
        <w:rPr>
          <w:b/>
        </w:rPr>
        <w:t>E. 1</w:t>
      </w:r>
    </w:p>
    <w:p>
      <w:r>
        <w:t>Y.________ Assurance-maladie SA a repris les actifs et passifs de A.________ dans le cadre d'une fusion. Elle lui a dès lors succédé, de par la loi, en qualité de partie à la procédure ( art. 71 LTF en liaison avec l' art. 17 al. 3 PCF ; cf. ATF 106 II 346 consid. 1). Le rubrum du présent arrêt tient compte de cette modification.</w:t>
      </w:r>
    </w:p>
    <w:p>
      <w:r>
        <w:rPr>
          <w:b/>
        </w:rPr>
        <w:t>E. 2.1</w:t>
      </w:r>
    </w:p>
    <w:p>
      <w:r>
        <w:t>L'arrêt attaqué a été rendu en matière civile ( art. 72 al. 1 LTF ) par une instance cantonale unique au sens de l' art. 7 CPC relatif aux litiges portant sur les assurances complémentaires à l'assurance-maladie sociale. En conséquence, dans la mesure où il a trait à la prétention se rapportant à ces assurances complémentaires, il peut faire l'objet d'un recours en matière civile sans égard à la valeur litigieuse, en vertu de l' art. 74 al. 2 let. b LTF (arrêt 4A_32/2012 du 30 mai 2012 consid. 1.2).</w:t>
      </w:r>
    </w:p>
    <w:p>
      <w:r>
        <w:rPr>
          <w:b/>
        </w:rPr>
        <w:t>E. 2.2</w:t>
      </w:r>
    </w:p>
    <w:p>
      <w:r>
        <w:t>F.X.________ n'a pas pris part à la procédure devant l'autorité précédente. Aussi le présent recours est-il irrecevable à son égard puisqu'elle n'avait pas qualité pour le former ( art. 76 al. 1 let. a LTF ).</w:t>
      </w:r>
    </w:p>
    <w:p>
      <w:r>
        <w:t>En revanche, H.X.________, qui a succombé dans ses conclusions condamnatoires, a qualité pour recourir. Il a déposé son recours en temps utile ( art. 100 al. 1 LTF en liaison avec l' art. 46 al. 1 let . c LTF) et dans la forme prévue par la loi ( art. 42 al. 1 LTF ).</w:t>
      </w:r>
    </w:p>
    <w:p>
      <w:r>
        <w:rPr>
          <w:b/>
        </w:rPr>
        <w:t>E. 3</w:t>
      </w:r>
    </w:p>
    <w:p>
      <w:r>
        <w:t>Devant le Tribunal fédéral, le litige ne porte que sur le droit de H.X.________ d'exiger de l'intimée le remboursement, entre ses mains, de primes le concernant que son épouse avait payées à tort et dont elle avait obtenu la restitution par l'intimée.</w:t>
      </w:r>
    </w:p>
    <w:p>
      <w:r>
        <w:t>En bref, la juridiction cantonale a nié à H.X.________ le droit d'obtenir un second remboursement de ses primes, au motif qu'il lui appartenait de s'entendre à cet égard avec son épouse.</w:t>
      </w:r>
    </w:p>
    <w:p>
      <w:r>
        <w:t>Le recourant soutient que l'intimée n'était pas en droit de rembourser à l'épouse des primes qu'il avait versées en trop, car les montants en cause se rapportaient à des relations contractuelles différentes. Il allègue qu'une assurance-maladie ne peut pas se libérer valablement d'une dette envers l'un des époux en effectuant un virement sur le compte privé de l'autre époux, à moins que ce dernier ne soit au bénéfice d'une cession de créance de son conjoint, si bien que l'intimée doit lui restituer les cinq mois de primes pour les mois de février à juin 2008.</w:t>
      </w:r>
    </w:p>
    <w:p>
      <w:r>
        <w:rPr>
          <w:b/>
        </w:rPr>
        <w:t>E. 4</w:t>
      </w:r>
    </w:p>
    <w:p>
      <w:r>
        <w:t>En l'espèce, comme cela ressort d'un précédent arrêt rendu le 29 mars 2011 dans la même cause par la juridiction cantonale et cité dans l'arrêt attaqué (consid. 4, p. 7; cf. pce 10 rec.), la caisse-maladie a accepté, à la demande formulée le 21 avril 2008 par F.X.________, qui contestait être débitrice des primes afférentes à l'assurance souscrite par son mari, de faire sortir ce dernier du "groupe familial" avec effet rétroactif au 1er février 2008 et d'établir une nouvelle police d'assurance au nom de H.X.________ à compter de cette date. C'est la raison pour laquelle, elle a remboursé à l'épouse, le 27 juin 2008, les primes que celle-ci avait versées au moyen de ses propres deniers pour payer les trois factures qui lui avaient été adressées les 9 février, 8 mars et 5 avril 2008 à cette fin, factures incluant l'ensemble des primes du groupe familial, y compris celles concernant H.X.________ (cf. arrêt du 29 mars 2011, précité, p. 2 et 3, ch. 3 à 5, et p. 16 s., consid. 11). En d'autres termes, l'intimée, ce faisant, a restitué, à la personne qui l'avait versée, la somme reçue en exécution d'un contrat devenu rétroactivement caduc, c'est-à-dire, juridiquement parlant, en vertu d'une cause ayant cessé d'exister (cf. art. 62 al. 2, dernière hypothèse, CO). Cette façon de procéder n'avait rien de critiquable puisqu'elle revenait à corriger le déplacement de fortune qui s'était opéré indûment entre la personne physique appauvrie (F.X.________) et la personne morale enrichie (la caisse-maladie). Il n'importe, à cet égard, que les primes en question aient été versées pour le compte d'un tiers (en l'occurrence, H.X.________), dans le cadre d'un contrat d'assurance liant ce tiers et la caisse-maladie. Seule est déterminant en effet, sous l'angle considéré, le point de savoir qui s'est appauvri. Or, selon les constatations souveraines de la cour cantonale, il ne s'agit pas du recourant, puisque sa dette envers la caisse-maladie a été effacée rétroactivement pour être remplacée par une nouvelle dette elle-même effacée ultérieurement suite à l'acceptation de sa demande de report de son affiliation (sur ce dernier point, cf. le prochain paragraphe), mais bien de F.X.________, laquelle a payé de sa poche pour régler une tierce dette (celle de son mari) dont le fondement a ensuite été supprimé avec effet rétroactif.</w:t>
      </w:r>
    </w:p>
    <w:p>
      <w:r>
        <w:t>Le recourant n'est pas de bonne foi lorsqu'il insinue que l'intimée aurait soutenu, en méconnaissance totale de la chronologie des événements, que le remboursement opéré en mains de F.X.________, le 27 juin 2008, résultait de l'acceptation de la demande, formulée le 17 février 2009 par lui, le recourant, d'un report de son affiliation au 1er juillet 2008, motif pris de ce qu'il était déjà couvert jusqu'à cette date par la sécurité sociale française. La caisse-maladie lui a, en effet, expliqué clairement, dans sa lettre du 7 juin 2011 susmentionnée (pce 12 rec.), qu'elle avait déjà restitué les primes des mois de février à mai 2008 à F.X.________, parce que c'était cette dernière qui les avait payées, et, s'agissant de la prime du mois de juin 2008 versée par lui, qu'elle avait compensé sa dette de remboursement de ce chef avec sa propre créance en paiement de la prime en souffrance afférente au mois de mars 2009.</w:t>
      </w:r>
    </w:p>
    <w:p>
      <w:r>
        <w:t>Il appert de ce qui précède que la caisse-maladie intimée a refusé à juste titre de rembourser une seconde fois des primes dont le montant avait été restitué à qui de droit. En rejetant la demande du recourant, qui voulait l'y contraindre, les juges genevois n'ont nullement violé le droit fédéral. Par conséquent, le présent recours, qui confine à la témérité, ne peut qu'être rejeté.</w:t>
      </w:r>
    </w:p>
    <w:p>
      <w:r>
        <w:rPr>
          <w:b/>
        </w:rPr>
        <w:t>E. 5</w:t>
      </w:r>
    </w:p>
    <w:p>
      <w:r>
        <w:t>Les conclusions des recourants étaient d'emblée vouées à l'échec. Aussi ne saurait-il être question de mettre les intéressés au bénéfice de l'assistance judiciaire ( art. 64 al.1 LTF ), si tant est qu'il faille interpréter en ce sens l'une de leurs conclusions préliminaires. Dès lors, les deux recourants seront condamnés solidairement à payer les frais de la procédure fédérale ( art. 66 al. 1 et 5 LTF ). En revanche, ils n'auront pas à verser de dépens, l'intimée n'ayant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