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4A_434/2008 vom 2. März 2009</w:t>
      </w:r>
    </w:p>
    <w:p>
      <w:r>
        <w:t>Bundesgericht, 2009-03-02, DE</w:t>
      </w:r>
    </w:p>
    <w:p>
      <w:r>
        <w:rPr>
          <w:b/>
        </w:rPr>
        <w:t xml:space="preserve">Quelle: </w:t>
      </w:r>
      <w:r>
        <w:t>https://mcp.opencaselaw.ch/entscheid/bger_4A_434_2008</w:t>
      </w:r>
    </w:p>
    <w:p>
      <w:r>
        <w:t>FR: TF 4A_434/2008 du 2 mars 2009</w:t>
      </w:r>
    </w:p>
    <w:p>
      <w:r>
        <w:t>IT: TF 4A_434/2008 del 2 marzo 2009</w:t>
      </w:r>
    </w:p>
    <w:p>
      <w:pPr>
        <w:pStyle w:val="Heading2"/>
      </w:pPr>
      <w:r>
        <w:t>Erwägungen</w:t>
      </w:r>
    </w:p>
    <w:p>
      <w:r>
        <w:rPr>
          <w:b/>
        </w:rPr>
        <w:t>E. 1</w:t>
      </w:r>
    </w:p>
    <w:p>
      <w:r>
        <w:t>Mit dem heutigen Entscheid in der Sache wird das Gesuch des Beschwerdeführers, der Beschwerde aufschiebende Wirkung zu erteilen, gegenstandslos.</w:t>
      </w:r>
    </w:p>
    <w:p>
      <w:r>
        <w:rPr>
          <w:b/>
        </w:rPr>
        <w:t>E. 2</w:t>
      </w:r>
    </w:p>
    <w:p>
      <w:r>
        <w:t>Vorliegend ist streitig, ob die Beschwerdegegnerin für die gesamte vom Beschwerdeführer geltend gemachte Forderung passivlegitimiert sei. Die Vorinstanz kam zum Schluss, die Beschwerdegegnerin sei nicht ausschliesslich für sich selber, sondern als Vertreterin auch für ihren Ehemann E.Z.________ sowie für die Z.________ AG tätig gewesen. Die Klage sei abzuweisen, da der Beschwerdeführer nicht substantiiert dargetan habe, welcher Teil der Forderung Leistungen betreffe, für welche die Beschwerdegegnerin einstehen müsse bzw. passivlegitimiert sei. Der Beschwerdeführer behauptet demgegenüber, er habe einzig und alleine mit der Beschwerdegegnerin einen Auftragsvertrag abgeschlossen.</w:t>
      </w:r>
    </w:p>
    <w:p>
      <w:r>
        <w:rPr>
          <w:b/>
        </w:rPr>
        <w:t>E. 3</w:t>
      </w:r>
    </w:p>
    <w:p>
      <w:r>
        <w:t>Der Beschwerdeführer rügt eine Verletzung des Vertrauensprinzips und macht geltend, die Vorinstanz habe die Art. 1, 18, 19 und 394 ff. OR sowie Art. 2 ZGB unrichtig angewendet. Eine Auslegung der Klagebeilagen 2, 4, 6, 14, 17 und 38 sowie der gesamten Korrespondenz des Beschwerdeführers ergebe klar, dass einzig die Beschwerdegegnerin den Beschwerdeführer beauftragen wollte und dieser den Auftrag angenommen habe.</w:t>
      </w:r>
    </w:p>
    <w:p>
      <w:r>
        <w:t>Der Beschwerdeführer geht von einem falschen Verständnis des angefochtenen Entscheids aus. Er verkennt, dass die Vorinstanz vorliegend nicht eine Auslegung von Willensäusserungen nach dem Vertrauensprinzip vorgenommen hat, sondern aufgrund einer Beweiswürdigung den tatsächlichen Willen der Parteien feststellte. Die Vorinstanz würdigte insbesondere die Aussagen des Beschwerdeführers in seiner Replik vom 11. Dezember 2006, die Vollmachten, welche die Beschwerdegegnerin, handelnd als Generalbevollmächtigte ihres Ehemanns E.Z.________, dem Beschwerdeführer erteilte (KB 6, 6a, 6b), die Generalvollmacht, die E.Z.________ dem Beschwerdeführer erteilte (KB 13, 20), das Schreiben vom 6. November 2003, aus dem hervorgeht, dass E.Z.________ die Beschwerdegegnerin umfassend bevollmächtigte, seine Angelegenheiten sowie diejenigen der Z.________ AG zu regeln und dazu den Beschwerdeführer zu beauftragen (KB 53b), und die Rechnungen, die der Beschwerdeführer am 13. Februar 2004 der Z.________ AG für seine Bemühungen stellte (BB 2/02, 3/03). Aufgrund einer ausführlichen Würdigung dieser Beweismittel und des nachträglichen Parteiverhaltens kam die Vorinstanz zum Ergebnis, dass die Beschwerdegegnerin gegenüber dem Beschwerdeführer nicht nur in ihrem Namen, sondern auch als Vertreterin im Namen ihres Ehemannes und der Z.________ AG gehandelt und dementsprechend auch diese verpflichtet hat. Sowohl der Beschwerdeführer als auch die Beschwerdegegnerin wollten in tatsächlicher Hinsicht nicht nur ein Auftragsverhältnis zwischen der Beschwerdegegnerin und dem Beschwerdeführer schliessen. An diese tatsächliche Feststellung der Vorinstanz ist das Bundesgericht grundsätzlich gebunden ( Art. 105 Abs. 1 BGG ; vgl. Erwägung 4.1).</w:t>
      </w:r>
    </w:p>
    <w:p>
      <w:r>
        <w:t>Da der übereinstimmende wirkliche Parteiwille festgestellt werden konnte, erübrigte es sich für die Vorinstanz, die Erklärungen der Parteien zur Ermittlung des mutmasslichen Parteiwillens aufgrund des Vertrauensprinzips auszulegen (vgl. BGE 132 III 24 E. 4 S. 27 f.; 131 III 606 E. 4.1 S. 611; 130 III 66 E. 3.2 S. 71; je mit Hinweisen). Die Rüge der Verletzung von Bundesrecht entbehrt demnach der Grundlage.</w:t>
      </w:r>
    </w:p>
    <w:p>
      <w:r>
        <w:rPr>
          <w:b/>
        </w:rPr>
        <w:t>E. 4</w:t>
      </w:r>
    </w:p>
    <w:p>
      <w:r>
        <w:t>Der Beschwerdeführer macht weiter eine offensichtlich unrichtige Sachverhaltsfeststellung geltend.</w:t>
      </w:r>
    </w:p>
    <w:p>
      <w:r>
        <w:rPr>
          <w:b/>
        </w:rPr>
        <w:t>E. 4.1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w:t>
      </w:r>
    </w:p>
    <w:p>
      <w:r>
        <w:rPr>
          <w:b/>
        </w:rPr>
        <w:t>E. 4.2</w:t>
      </w:r>
    </w:p>
    <w:p>
      <w:r>
        <w:t>Der Beschwerdeführer rügt, die Vorinstanz habe auf die "falschen" Dokumente abgestellt und zu Unrecht die Klagebeilagen 6, 14, 17 und 38 nicht beachtet. Er zeigt aber nicht näher auf, inwiefern sich daraus eine offensichtlich unrichtige Sachverhaltsfeststellung ergeben würde, und vermag somit diesbezüglich den Begründungsanforderungen an eine Sachverhaltsrüge nicht zu genügen.</w:t>
      </w:r>
    </w:p>
    <w:p>
      <w:r>
        <w:t>Als offensichtlich unrichtig rügt der Beschwerdeführer, dass die Vorinstanz auf die Rechnungen (BB 2/02, 3/03) abgestellt habe, ohne seine unbestritten gebliebene Äusserung in der Replik vom 11. Dezember 2006 zu berücksichtigen, wonach die Rechnungsstellung an die Gesellschaft auf ausdrücklichen Wunsch der Beschwerdegegnerin erfolgt sei. Nach Art. 156 Abs. 1 der Zivilprozessordnung des Kantons Graubünden vom 1. Dezember 1985 (Bündner Rechtsbuch 320.000) gilt als bestritten, was nicht zugestanden wird. Auch im Kontumazverfahren gelten die tatsächlichen Vorbringen der anwesenden Partei grundsätzlich als bestritten und müssen demnach bewiesen werden (Marco Ettisberger, Der Bündner Zivilprozess im Überblick, unter besonderer Berücksichtigung einzelner Verfahrensarten, Diss. Zürich 1987, S. 83). Da der Beschwerdeführer nicht aufzeigt, dass die Beschwerdegegnerin seine Behauptung anerkannt hätte oder weshalb die Vorinstanz diese Behauptung als erstellt hätte betrachten müssen, genügt die entsprechende Behauptung nicht, um die Beweiswürdigung der Vorinstanz als offensichtlich unrichtig auszuweisen. Hinzu kommt, dass die Vorinstanz nicht einzig aufgrund der Rechnungen, sondern aufgrund einer ausführlichen Beweiswürdigung ihre Sachverhaltsfeststellung getroffen hat (vgl. Erwägung 3).</w:t>
      </w:r>
    </w:p>
    <w:p>
      <w:r>
        <w:rPr>
          <w:b/>
        </w:rPr>
        <w:t>E. 5</w:t>
      </w:r>
    </w:p>
    <w:p>
      <w:r>
        <w:t>Der Beschwerdeführer ist mit seinen Rügen betreffend die Hauptbegründung der Vorinstanz nicht durchgedrungen. Da die Hauptbegründung demnach standhält, erübrigt es sich, auf die Vorbringen des Beschwerdeführers zur Eventualbegründung der Vorinstanz einzugehen.</w:t>
      </w:r>
    </w:p>
    <w:p>
      <w:r>
        <w:rPr>
          <w:b/>
        </w:rPr>
        <w:t>E. 6</w:t>
      </w:r>
    </w:p>
    <w:p>
      <w:r>
        <w:t>Die Beschwerde ist abzuweisen, soweit darauf einzutreten ist.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