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433/2024 vom 20. September 2024</w:t>
      </w:r>
    </w:p>
    <w:p>
      <w:r>
        <w:t>Bundesgericht, 2024-09-20, DE</w:t>
      </w:r>
    </w:p>
    <w:p>
      <w:r>
        <w:rPr>
          <w:b/>
        </w:rPr>
        <w:t xml:space="preserve">Quelle: </w:t>
      </w:r>
      <w:r>
        <w:t>https://mcp.opencaselaw.ch/entscheid/bger_4A_433_2024</w:t>
      </w:r>
    </w:p>
    <w:p>
      <w:r>
        <w:t>FR: TF 4A 433/2024 du 20 septembre 2024</w:t>
      </w:r>
    </w:p>
    <w:p>
      <w:r>
        <w:t>IT: TF 4A 433/2024 del 20 settembre 2024</w:t>
      </w:r>
    </w:p>
    <w:p>
      <w:pPr>
        <w:pStyle w:val="Heading2"/>
      </w:pPr>
      <w:r>
        <w:t>Regeste</w:t>
      </w:r>
    </w:p>
    <w:p>
      <w:r>
        <w:t>Rechtsöffnung, Rückzug, | Schuldbetreibungs- und Konkursrecht</w:t>
      </w:r>
    </w:p>
    <w:p>
      <w:pPr>
        <w:pStyle w:val="Heading2"/>
      </w:pPr>
      <w:r>
        <w:t>Erwägungen</w:t>
      </w:r>
    </w:p>
    <w:p>
      <w:r>
        <w:rPr>
          <w:b/>
        </w:rPr>
        <w:t>E. 1</w:t>
      </w:r>
    </w:p>
    <w:p>
      <w:r>
        <w:t>Mit Eingabe vom 20. August 2024 erhob der Beschwerdeführer Beschwerde in Zivilsachen gegen das Urteil des Obergerichts des Kantons Solothurn vom 18. Juni 2024. Mit Schreiben vom 9. September 2024 erklärte er, er ziehe seine Beschwerde im Verfahren 4A_433/2024 zurück.</w:t>
      </w:r>
    </w:p>
    <w:p>
      <w:r>
        <w:rPr>
          <w:b/>
        </w:rPr>
        <w:t>E. 2</w:t>
      </w:r>
    </w:p>
    <w:p>
      <w:r>
        <w:t>Aufgrund dieses Rückzugs wird das Verfahren durch die Abteilungspräsidentin als erledigt abgeschrieben ( Art. 32 Abs. 2 BGG ). Der Beschwerdeführer wird dafür kostenpflichtig ( Art. 66 Abs. 1 - 3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