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4A_432/2025 vom 22. Dezember 2025</w:t>
      </w:r>
    </w:p>
    <w:p>
      <w:r>
        <w:t>Bundesgericht, 2025-12-22, DE</w:t>
      </w:r>
    </w:p>
    <w:p>
      <w:r>
        <w:rPr>
          <w:b/>
        </w:rPr>
        <w:t xml:space="preserve">Quelle: </w:t>
      </w:r>
      <w:r>
        <w:t>https://mcp.opencaselaw.ch/entscheid/bger_4A_432_2025</w:t>
      </w:r>
    </w:p>
    <w:p>
      <w:r>
        <w:t>FR: TF 4A_432/2025 du 22 décembre 2025</w:t>
      </w:r>
    </w:p>
    <w:p>
      <w:r>
        <w:t>IT: TF 4A_432/2025 del 22 dicembre 2025</w:t>
      </w:r>
    </w:p>
    <w:p>
      <w:pPr>
        <w:pStyle w:val="Heading2"/>
      </w:pPr>
      <w:r>
        <w:t>Erwägungen</w:t>
      </w:r>
    </w:p>
    <w:p>
      <w:r>
        <w:rPr>
          <w:b/>
        </w:rPr>
        <w:t>E. 1</w:t>
      </w:r>
    </w:p>
    <w:p>
      <w:r>
        <w:t>Mit Klage vom 8. Februar 2021 beantragten die Beschwerdeführer beim Regionalgericht Engiadina Bassa/Val Müstair, die Beschwerdegegner seien zu verpflichten, ihnen Fr. 100'000.-- nebst 5 % Zins seit dem 1. August 2020 zu bezahlen. Das Regionalgericht hiess die Klage mit Entscheid vom 26. Oktober 2023 teilweise gut und verpflichtete die Beschwerdegegner, den Beschwerdeführern Fr. 20'000.-- zuzüglich Zins zu 5 % seit dem 26. August 2020 zu bezahlen. Im Übrigen schrieb es die Klage als erledigt ab bzw. es wies sie ab, soweit es darauf eintrat. Das Obergericht des Kantons Graubünden wies mit Urteil vom 11. August 2025 sowohl die Berufung der Beschwerdeführer als auch die Anschlussberufung der Beschwerdegegner ab, soweit es auf diese eintrat. Zugleich bestätigte das Obergericht das Urteil des Regionalgerichts vom 26. Oktober 2023. Dagegen erheben die Beschwerdeführer am 11. September 2025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Bei diesem Ausgang des Verfahrens sind die Gerichtskosten den Beschwerdeführern 1, 2 und 3 unter solidarischer Haftung aufzuerlegen ( Art. 66 Abs. 1 und Abs. 5 BGG ). Die Beschwerdegegner 1 und 2 haben keinen Anspruch auf eine Parteientschädigung, da ihnen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