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4A_431/2011 vom 6. Februar 2012</w:t>
      </w:r>
    </w:p>
    <w:p>
      <w:r>
        <w:t>Bundesgericht, 2012-02-06, DE</w:t>
      </w:r>
    </w:p>
    <w:p>
      <w:r>
        <w:rPr>
          <w:b/>
        </w:rPr>
        <w:t xml:space="preserve">Quelle: </w:t>
      </w:r>
      <w:r>
        <w:t>https://mcp.opencaselaw.ch/entscheid/bger_4A_431_2011</w:t>
      </w:r>
    </w:p>
    <w:p>
      <w:r>
        <w:t>FR: TF 4A_431/2011 du 6 février 2012</w:t>
      </w:r>
    </w:p>
    <w:p>
      <w:r>
        <w:t>IT: TF 4A_431/2011 del 6 febbraio 2012</w:t>
      </w:r>
    </w:p>
    <w:p>
      <w:pPr>
        <w:pStyle w:val="Heading2"/>
      </w:pPr>
      <w:r>
        <w:t>Erwägungen</w:t>
      </w:r>
    </w:p>
    <w:p>
      <w:r>
        <w:rPr>
          <w:b/>
        </w:rPr>
        <w:t>E. 1</w:t>
      </w:r>
    </w:p>
    <w:p>
      <w:r>
        <w:t>Das Bundesgericht prüft von Amtes wegen und mit freier Kognition, ob ein Rechtsmittel zulässig ist ( BGE 137 III 417 E. 1; 136 II 436 E. 1, 101 E. 1).</w:t>
      </w:r>
    </w:p>
    <w:p>
      <w:r>
        <w:rPr>
          <w:b/>
        </w:rPr>
        <w:t>E. 1.1</w:t>
      </w:r>
    </w:p>
    <w:p>
      <w:r>
        <w:t>Die Beschwerdeführerin bezeichnet ihre Eingabe als "Beschwerde". In Zivilsachen ist das ordentliche Rechtsmittel die Beschwerde in Zivilsachen ( Art. 72 ff. BGG ). Da der erforderliche Streitwert von Fr. 30'000.-- ( Art. 74 Abs. 1 lit. b BGG ) nicht erreicht ist und eine Rechtsfrage von grundsätzlicher Bedeutung ( Art. 74 Abs. 2 lit. a BGG ) weder dargetan noch ersichtlich ist, sind die Voraussetzungen für die Zulässigkeit der Beschwerde in Zivilsachen nicht erfüllt. Die Eingabe ist somit als subsidiäre Verfassungsbeschwerde gemäss Art. 113 ff. BGG zu behandeln, welche vorliegend grundsätzlich zulässig ist.</w:t>
      </w:r>
    </w:p>
    <w:p>
      <w:r>
        <w:rPr>
          <w:b/>
        </w:rPr>
        <w:t>E. 1.2</w:t>
      </w:r>
    </w:p>
    <w:p>
      <w:r>
        <w:t>Mit der Verfassungsbeschwerde kann die Verletzung von verfassungsmässigen Rechten gerügt werden ( Art. 116 BGG ). Soweit die Beschwerdeführerin die Verletzung von einfachem Bundesrecht rügt, ohne dabei darzutun, inwiefern die Vorinstanz dieses unter Verletzung verfassungsmässiger Rechte angewendet hätte, ist darauf nicht einzutreten.</w:t>
      </w:r>
    </w:p>
    <w:p>
      <w:r>
        <w:rPr>
          <w:b/>
        </w:rPr>
        <w:t>E. 1.3</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Neue Tatsachen und Beweismittel dürfen nur soweit vorgebracht werden, als der Entscheid der Vorinstanz dazu Anlass gibt, was in der Beschwerde näher darzulegen ist ( Art. 99 Abs. 1 BGG ; BGE 133 III 393 E. 3 S. 395 mit Hinweis).</w:t>
      </w:r>
    </w:p>
    <w:p>
      <w:r>
        <w:t>Diese Grundsätze verkennt die Beschwerdeführerin, wenn sie ihrer Beschwerde eine Darstellung des Sachverhalts aus eigener Sicht voranstellt, ohne dabei substanziierte Sachverhaltsrügen zu erheben. Die entsprechenden Ausführungen sind für das Bundesgericht unbeachtlich. Die Beschwerdeführerin beantragt zudem die Einvernahme des Zeugen A.________ und der Eheleute B.________, ohne darzutun, dass die Voraussetzungen für das Vorbringen neuer Tatsachen und Beweismittel erfüllt wären. Auf die Beweisanträge ist nicht einzutreten.</w:t>
      </w:r>
    </w:p>
    <w:p>
      <w:r>
        <w:rPr>
          <w:b/>
        </w:rPr>
        <w:t>E. 2</w:t>
      </w:r>
    </w:p>
    <w:p>
      <w:r>
        <w:t>Die Beschwerdeführerin rügt, die Vorinstanz habe ihren Anspruch auf rechtliches Gehör verletzt, indem sie die Befragung des Zeugen A.________ abgelehnt habe. Es handle sich dabei um eine unzulässige Beweisantizipation. Die Vorinstanz habe einseitig der ausgesprochen widersprüchlichen Darstellung der Beschwerdegegnerin geglaubt. Durch die Einvernahme des Zeugen A.________ wäre es ohne weiteres möglich gewesen, die fehlerhaften Annahmen der Vorinstanz in tatsächlicher Hinsicht richtig zu stellen und letztlich den vollen Beweis dafür zu erbringen, dass A.________ einen Honoraranspruch gegen die Beschwerdegegnerin habe.</w:t>
      </w:r>
    </w:p>
    <w:p>
      <w:r>
        <w:rPr>
          <w:b/>
        </w:rPr>
        <w:t>E. 2.1</w:t>
      </w:r>
    </w:p>
    <w:p>
      <w:r>
        <w:t>Der Anspruch auf rechtliches Gehör ( Art. 29 Abs. 2 BV ) gewährt den Parteien insbesondere das Recht, mit rechtzeitig und formrichtig angebotenen erheblichen Beweismitteln gehört zu werden ( BGE 134 I 140 E. 5.3; 129 II 497 E. 2.2 ; 127 I 54 E. 2b).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134 I 140 E. 5.3; 130 II 425 E. 2.1 mit Hinweisen).</w:t>
      </w:r>
    </w:p>
    <w:p>
      <w:r>
        <w:t>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 131 I 153 E. 3 S. 157, 217 E. 2.1 ; 129 I 8 E. 2.1 ; 124 I 208 E. 4a). Die Verletzung von Grundrechten kann das Bundesgericht zudem nur insofern prüfen, als eine solche Rüge in der Beschwerde präzise vorgebracht und begründet worden ist ( Art. 106 Abs. 2 BGG ; BGE 133 II 249 E. 1.4.2 S. 254; 133 III 393 E. 6, 439 E. 3.2).</w:t>
      </w:r>
    </w:p>
    <w:p>
      <w:r>
        <w:rPr>
          <w:b/>
        </w:rPr>
        <w:t>E. 2.2</w:t>
      </w:r>
    </w:p>
    <w:p>
      <w:r>
        <w:t>Diesen Begründungsanforderungen genügt die Beschwerdeführerin nicht. Sie führt nicht substanziiert aus, in welchen Punkten die Vorinstanz einseitig der Beschwerdegegnerin geglaubt habe und dass der Zeuge A.________ die Überzeugung des Gerichts dabei hätte ändern können. Inwiefern die Vorinstanz bei ihrer antizipierten Beweiswürdigung in Willkür verfallen wäre, ist weder dargetan noch ersichtlich. Die Rüge erweist sich damit als unbegründet, soweit darauf überhaupt einzutreten ist.</w:t>
      </w:r>
    </w:p>
    <w:p>
      <w:r>
        <w:rPr>
          <w:b/>
        </w:rPr>
        <w:t>E. 3</w:t>
      </w:r>
    </w:p>
    <w:p>
      <w:r>
        <w:t>Nach dem Gesagten ist die Beschwerde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