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4A_430/2023 vom 23. Februar 2024</w:t>
      </w:r>
    </w:p>
    <w:p>
      <w:r>
        <w:t>Bundesgericht, 2024-02-23, FR</w:t>
      </w:r>
    </w:p>
    <w:p>
      <w:r>
        <w:rPr>
          <w:b/>
        </w:rPr>
        <w:t xml:space="preserve">Quelle: </w:t>
      </w:r>
      <w:r>
        <w:t>https://mcp.opencaselaw.ch/entscheid/bger_4A_430_2023</w:t>
      </w:r>
    </w:p>
    <w:p>
      <w:r>
        <w:t>FR: TF 4A_430/2023 du 23 février 2024</w:t>
      </w:r>
    </w:p>
    <w:p>
      <w:r>
        <w:t>IT: TF 4A_430/2023 del 23 febbraio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les parties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L'une des parties au moins n'avait pas son domicile respectivement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 ons de recevabilité ne fait problème en l'espèce. Rien ne s'oppose, dès lors, à l'entrée en matière. Demeure réservé l'examen, sous l'angle de sa motivation, du grief invoqué par le recourant.</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ainsi accrues. La partie recourante doit donc invoquer l'un des griefs énoncés limitativement et montrer par une argumentation précise, en partant de la sentence attaquée, en quoi le motif soulevé justifie l'admission du recours (arrêts 4A_7/2019 du 21 mars 2019 consid. 2; 4A_378/2015 du 22 septembre 2015 consid. 3.1).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invoquant l' art. 190 al. 2 let. b LDIP , soutient que le TAS s'est déclaré à tort incompétent pour trancher le fond de l'affaire et a nié indûment la compétence de la CRL pour connaître de la présente affaire.</w:t>
      </w:r>
    </w:p>
    <w:p>
      <w:r>
        <w:rPr>
          <w:b/>
        </w:rPr>
        <w:t>E. 5.1</w:t>
      </w:r>
    </w:p>
    <w:p>
      <w:r>
        <w:t>Saisi du grief d'incompétence, le Tribunal fédéral examine librement les questions de droit, y compris les questions préalables, qui déterminent la compétence ou l'incompétence du tribunal arbitral ( ATF 147 III 107 consid. 3.1.1; 146 III 142 consid. 3.4.1).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5.2</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 ATF 148 III 427 consid. 5.2.2; 147 III 107 consid. 3.1.2; 142 III 239 consid. 3.3.1; 140 III 367 consid. 3.1; 138 III 29 consid. 2.2.3). Il importe que la volonté des parties d'exclure la juridiction étatique normalement compétente au profit de la juridiction privée que constitue un tribunal arbitral y apparaisse ( ATF 148 III 427 consid. 5.2.2; 142 III 239 consid. 3.3.1).</w:t>
      </w:r>
    </w:p>
    <w:p>
      <w:r>
        <w:t>S'agissant du fond, la convention d'arbitrage est valable, selon l' art. 178 al. 2 LDIP , si elle répond aux conditions que pose soit le droit choisi par les parties, soit le droit régissant l'objet du litige et notamment le droit applicable au contrat principal, soit encore le droit suisse. La disposition citée consacre trois rattachements alternatifs</w:t>
      </w:r>
    </w:p>
    <w:p>
      <w:r>
        <w:t>in favorem validitatis , sans aucune hiérarchie entre eux, à savoir le droit choisi par les parties, le droit régissant l'objet du litige (</w:t>
      </w:r>
    </w:p>
    <w:p>
      <w:r>
        <w:t>lex causae ) et le droit suisse en tant que droit du siège de l'arbitrage ( ATF 129 III 727 consid. 5.3.2).</w:t>
      </w:r>
    </w:p>
    <w:p>
      <w:r>
        <w:t>En droit suisse, l'interprétation d'une convention d'arbitrage se fait selon les règles générales d'interprétation des contrats. A l'instar du juge, l'arbitre ou le tribunal arbitral s'attachera, tout d'abord, à mettre au jour la réelle et commune intention des parties (cf. art. 18 al. 1 CO ), le cas échéant empiriquement, sur la base d'indices, sans s'arrêter aux expressions et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Cette interprétation subjective repose sur l'appréciation des preuves. Si elle s'avère concluante, le résultat qui en est tiré, c'est-à-dire la constatation d'une commune et réelle intention des parties, relève du domaine des faits et lie, partant, le Tribunal fédéral. Dans le cas contraire, celui qui procède à l'interprétation devra rechercher, en appliquant le principe de la confiance, le sens que les parties pouvaient et devaient donner, selon les règles de la bonne foi, à leurs manifestations de volonté réciproques en fonction de l'ensemble des circonstances ( ATF 142 III 239 consid. 5.2.1 et les références citées).</w:t>
      </w:r>
    </w:p>
    <w:p>
      <w:r>
        <w:rPr>
          <w:b/>
        </w:rPr>
        <w:t>E. 5.3</w:t>
      </w:r>
    </w:p>
    <w:p>
      <w:r>
        <w:t>Dans la sentence querellée, l'arbitre, appliquant la réglementation adoptée par la FIFA et le droit suisse à titre subsidiaire, observe que le litige porte sur des rapports de travail et qu'il revêt une dimension internationale puisqu'il oppose un club de football hongrois à un footballeur de nationalité russe. Elle se réfère ensuite à l'art. 22 let. b du Règlement du Statut et du Transfert des Joueurs (RSTJ; édition février 2021) édicté par la FIFA, lequel a la teneur suivante:</w:t>
      </w:r>
    </w:p>
    <w:p>
      <w:r>
        <w:t>"Art. 22 Compétence de la FIFA</w:t>
      </w:r>
    </w:p>
    <w:p>
      <w:r>
        <w:t>Sans préjudice du droit de tout (e) joueur, entraîneur, association ou club à demander réparation devant un tribunal civil pour des litiges relatifs au travail, la compétence de la FIFA s'étend:</w:t>
      </w:r>
    </w:p>
    <w:p>
      <w:r>
        <w:t>(...)</w:t>
      </w:r>
    </w:p>
    <w:p>
      <w:r>
        <w:t>b) aux litiges de dimension internationale entre un club et un joueur relatifs au travail; les parties susmentionnées peuvent cependant opter, de manière explicite et par écrit, pour que de tels litiges soient tranchés par un tribunal arbitral indépendant établi au niveau national dans le cadre de l'association et/ou d'une convention collective; toute clause d'arbitrage doit être incluse directement dans le contrat ou dans une convention collective applicable aux parties. Le tribunal arbitral national indépendant doit garantir une procédure équitable et respecter le principe de représentation paritaire des joueurs et des clubs".</w:t>
      </w:r>
    </w:p>
    <w:p>
      <w:r>
        <w:t>L'arbitre relève que la CRL est en principe compétente pour connaître des litiges relevant du domaine du travail. Les parties peuvent toutefois convenir contractuellement de soumettre de tels litiges aux tribunaux étatiques. L'arbitre estime qu'il lui appartient dès lors de déterminer si les parties, en adoptant l'art. 49, ont voulu exclure la compétence de la CRL pour trancher les litiges en matière de travail. Examinant les termes de cette clause contractuelle, elle souligne que celle-ci opère une distinction au niveau de l'autorité juridictionnelle compétente en fonction de la nature du litige concerné. Ainsi, un tribunal étatique ("Administrative and Labour Court") est exclusivement compétent pour trancher les litiges dans le domaine du travail, tandis que les parties peuvent saisir la CRL dans les cas visés par les règles de la FIFA ou de la FHF ne relevant pas dudit domaine. En adoptant l'art. 49, les parties ont écarté la compétence des organes juridictionnels de la FIFA fondée sur l'art. 22 let. b) RSTP et, dans le même temps, ont opté clairement et exclusivement en faveur de celle de l'autorité judiciaire étatique ("Administrative and Labour Court"). Cet accord clair et sans équivoque entre les parties de soumettre exclusivement les litiges en matière de travail au tribunal étatique en question doit être respecté. Par conséquent, la CRL s'est déclarée, à tort, compétente pour connaître du litige divisant les parties.</w:t>
      </w:r>
    </w:p>
    <w:p>
      <w:r>
        <w:rPr>
          <w:b/>
        </w:rPr>
        <w:t>E. 5.4</w:t>
      </w:r>
    </w:p>
    <w:p>
      <w:r>
        <w:t>Dans ses écritures, le recourant critique le résultat de l'interprétation de la clause topique opérée par l'arbitre. A cet égard, il lui reproche d'avoir considéré que le tribunal étatique concerné ("Administrative and Labour Court") jouissait en l'occurrence d'une compétence exclusive pour trancher les litiges en matière de travail. Procédant à sa propre interprétation de l'art. 49 du contrat de travail, il estime que les parties pouvaient en l'occurrence saisir alternativement le tribunal étatique en question ou la CRL. Pour étayer sa thèse, l'intéressé se réfère notamment à une sentence rendue le 12 décembre 2019 par le TAS dans une affaire impliquant un club hongrois dans laquelle l'arbitre avait conclu à l'existence de compétences alternatives (TAS 2018/A/6016). Il soutient en outre que l'intimé n'aurait pas contesté ce point de vue devant le TAS.</w:t>
      </w:r>
    </w:p>
    <w:p>
      <w:r>
        <w:rPr>
          <w:b/>
        </w:rPr>
        <w:t>E. 5.5</w:t>
      </w:r>
    </w:p>
    <w:p>
      <w:r>
        <w:t>Tel qu'il est présenté, le grief ne saurait prospérer.</w:t>
      </w:r>
    </w:p>
    <w:p>
      <w:r>
        <w:t>A la lecture de la sentence entreprise, il appert, en effet, que l'arbitre désignée par le TAS a visiblement réussi à mettre à jour la réelle et commune intention des parties puisqu'elle a constaté que les parties, en concluant l'art. 49, avaient choisi de soumettre les litiges en matière de travail à la compétence exclusive d'une autorité judiciaire hongroise ("... when agreeing on Article 49, the Parties opted out of Article 22 lit. b) of the FIFA RSTP [RSTJ] and, at the same time, clearly and exclusively opted in Article 22 of the FIFA RSTP in favour of the jurisdiction of the Administrative and Labour Court"; sentence, n. 83) et a retenu l'existence d'un accord clair et non équivoque entre les parties à cet égard ("... clear and unequivocally agreement between the Parties to refer employment-related decision exclusively to Administrative and Labour Court..."; sentence, n. 84). Or, de telles constatations relatives à la volonté des parties relèvent du domaine des faits et lient, partant, le Tribunal fédéral lorsqu'il est saisi d'un recours en matière civile dirigé contre une sentence arbitrale internationale. Aussi est-ce en vain que le recourant se borne à proposer sa propre interprétation de la clause litigieuse. L'intéressé perd en effet de vue que si le Tribunal fédéral conserve la faculté de revoir l'état de fait à la base de la sentence attaquée, ce n'est qu'à la condition que l'un des griefs mentionnés à l' art. 190 al. 2 LDIP soit soulevé à l'encontre dudit état de fait ou que des faits ou des moyens de preuve nouveaux soient exceptionnellement pris en considération dans le cadre de la procédure du recours en matière civile. Or, on cherche en vain, dans l'acte de recours, un grief de ce genre, qui aurait été dûment invoqué et motivé.</w:t>
      </w:r>
    </w:p>
    <w:p>
      <w:r>
        <w:t>Force est par ailleurs de constater que la thèse du recourant selon laquelle son adversaire n'aurait pas contredit son interprétation de l'art. 49 du contrat de travail est infirmée par le contenu même de la sentence attaquée. Il appert, en effet, que l'intimé a soutenu, devant le TAS, que la compétence du tribunal étatique concerné était exclusive (sentence, n. 50).</w:t>
      </w:r>
    </w:p>
    <w:p>
      <w:r>
        <w:t>A titre superfétatoire, on relèvera que les critiques formulées par le recourant ne suffisent pas à établir que l'arbitre aurait enfreint l' art. 190 al. 2 let. b LDIP . Le résultat auquel a abouti l'arbitre apparaît en effet juridiquement défendable. Une autre formation arbitrale du TAS a du reste retenu une solution identique dans une affaire hongroise similaire jugée en novembre 2022 (TAS 2021/A/7775). Comme l'expose de manière convaincante le TAS, les clauses attributives de compétence dans ladite affaire et la présente cause avaient la même teneur dans le texte original hongrois, seule la traduction anglaise de celles-ci présentant quelques nuances. Saisi d'un recours dirigé contre la sentence rendue dans l'affaire TAS 2021/A/7775, la Cour de céans a considéré que l'interprétation de la clause contractuelle topique opérée par les arbitres ne prêtait pas le flanc à la critique (arrêt 4A_2/2023 du 6 octobre 2023 consid. 3.4). Il ne saurait en être autrement ici.</w:t>
      </w:r>
    </w:p>
    <w:p>
      <w:r>
        <w:rPr>
          <w:b/>
        </w:rPr>
        <w:t>E. 6</w:t>
      </w:r>
    </w:p>
    <w:p>
      <w:r>
        <w:t>Au vu de ce qui précède, le recours doit être rejeté dans la mesure de sa recevabilité. Le recourant, qui succombe, supportera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