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4A_430/2016 vom 7. Februar 2017</w:t>
      </w:r>
    </w:p>
    <w:p>
      <w:r>
        <w:t>Bundesgericht, 2017-02-07, DE</w:t>
      </w:r>
    </w:p>
    <w:p>
      <w:r>
        <w:rPr>
          <w:b/>
        </w:rPr>
        <w:t xml:space="preserve">Quelle: </w:t>
      </w:r>
      <w:r>
        <w:t>https://mcp.opencaselaw.ch/entscheid/bger_4A_430_2016</w:t>
      </w:r>
    </w:p>
    <w:p>
      <w:r>
        <w:t>FR: TF 4A_430/2016 du 7 février 2017</w:t>
      </w:r>
    </w:p>
    <w:p>
      <w:r>
        <w:t>IT: TF 4A_430/2016 del 7 febbraio 2017</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Beim angefochtenen Beschluss vom 8. Juni 2016 handelt es sich um einen Endentscheid im Sinne von Art. 90 BGG . Für Beschwerden in Zivilsachen gegen Urteile kantonaler Handelsgerichte besteht kein Streitwerterfordernis ( Art. 74 Abs. 2 lit. b BGG i.V.m. Art. 6 ZPO [SR 272]; BGE 139 III 67 E. 1.2 S. 69).</w:t>
      </w:r>
    </w:p>
    <w:p>
      <w:r>
        <w:t>Demgegenüber handelt es sich beim Beschluss vom 12. November 2014 um einen Zwischenentscheid. Als solcher ist er durch Beschwerde gegen den Endentscheid anfechtbar, soweit er sich auf dessen Inhalt auswirkt ( Art. 93 Abs. 3 BGG ). Unabhängig davon, ob diese Voraussetzung vorliegend erfüllt ist, beanstanden die Beschwerdeführer lediglich, die Vorinstanz sei von einem zu hohen Streitwert ausgegangen, ohne daraus jedoch konkrete Anträge hinsichtlich Vorschuss und Sicherstellung bzw. Festsetzung der Prozesskosten abzuleiten; der blosse Rückweisungsantrag reicht nicht aus ( BGE 136 V 131 E. 1.2; 134 III 379 E. 1.3 S. 383; 133 III 489 E. 3.1). Auf die entsprechenden Ausführungen ist nicht einzugehen.</w:t>
      </w:r>
    </w:p>
    <w:p>
      <w:r>
        <w:rPr>
          <w:b/>
        </w:rPr>
        <w:t>E. 1.2</w:t>
      </w:r>
    </w:p>
    <w:p>
      <w:r>
        <w:t>Im Übrigen ist auf die Beschwerde - unter Vorbehalt einer hinreichenden Begründung ( Art. 42 Abs. 2 und Art. 106 Abs. 2 BGG ) - einzutreten. Entgegen der Ansicht der Beschwerdegegnerin trifft nicht zu, dass sich der Beschwerde keine rechtsgenügenden Rügen entnehmen lassen.</w:t>
      </w:r>
    </w:p>
    <w:p>
      <w:r>
        <w:rPr>
          <w:b/>
        </w:rPr>
        <w:t>E. 1.3</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S. 335 f. mit Hinweisen).</w:t>
      </w:r>
    </w:p>
    <w:p>
      <w:r>
        <w:rPr>
          <w:b/>
        </w:rPr>
        <w:t>E. 2</w:t>
      </w:r>
    </w:p>
    <w:p>
      <w:r>
        <w:t>Die Beschwerdeführer werfen der Vorinstanz vor, den Anspruch auf ein gesetzmässig besetztes Gericht ( Art. 30 Abs. 1 BV ) verletzt zu haben.</w:t>
      </w:r>
    </w:p>
    <w:p>
      <w:r>
        <w:rPr>
          <w:b/>
        </w:rPr>
        <w:t>E. 2.1</w:t>
      </w:r>
    </w:p>
    <w:p>
      <w:r>
        <w:t>Sie bringen vor, die Vorinstanz habe die Parteien nach erfolgter Rückweisung nicht über den geplanten Fortgang des Verfahrens informiert. Stattdessen habe sie ohne vorgängige Anhörung der Beschwerdeführer Oberrichterin Franziska Grob durch Oberrichter Roland Schmid und Oberrichter Peter Helm durch Oberrichterin Claudia Bühler ersetzt. Durch diese Vorgehensweise sei dem verfassungsmässigen Anspruch der Beschwerdeführer auf ein gesetzmässig besetztes Gericht gemäss Art. 30 Abs. 1 BV erneut nicht Genüge getan worden. Wie das Bundesgericht in den zwei im angefochtenen Entscheid aufgeführten Urteilen ( BGE 142 I 93 E. 8.2; Urteil 4A_474/2015 vom 19. April 2016 E. 2.2.1) mit aller Deutlichkeit festgehalten habe, müsse eine Änderung des Spruchkörpers im Verlauf des Verfahrens den Parteien - gerade auch zur Wahrung des Anspruchs auf rechtliches Gehör ( Art. 29 Abs. 2 BV ) - zwingend angekündigt werden, ansonsten es ihnen nicht möglich sei, die Sachlichkeit der Gründe für die erfolgte Besetzungsänderung substanziiert zu bestreiten. Zudem werde den Beschwerdeführern durch eine solche Vorgehensweise verunmöglicht, gegen die neu eingesetzten Oberrichter Ablehnungs- bzw. Ausstandsgründe geltend zu machen. Der angefochtene Beschluss vom 8. Juni 2016 sei daher bereits aus diesem Grund aufzuheben und die Sache zur Durchführung eines gesetzeskonformen Verfahrens an die Vorinstanz zurückzuweisen.</w:t>
      </w:r>
    </w:p>
    <w:p>
      <w:r>
        <w:rPr>
          <w:b/>
        </w:rPr>
        <w:t>E. 2.2</w:t>
      </w:r>
    </w:p>
    <w:p>
      <w:r>
        <w:t>Die Rüge ist begründet. Das Bundesgericht hat in seinem Rückweisungsentscheid unter Hinweis auf die neuste Rechtsprechung ausgeführt, dass es bei Änderungen des einmal besetzten Spruchkörpers Aufgabe des Gerichts ist, die Parteien auf beabsichtigte Auswechslungen von mitwirkenden Richtern und deren Gründe dafür hinzuweisen. Erst wenn der Partei die Gründe für die Besetzungsänderung bekannt gegeben worden sind, liegt es an ihr, deren Sachlichkeit substanziiert zu bestreiten ( BGE 142 I 93 E. 8.2; Urteil 4A_474/2015 vom 19. April 2016 E. 2.2.1).</w:t>
      </w:r>
    </w:p>
    <w:p>
      <w:r>
        <w:t>Obwohl das Bundesgericht eine Verletzung des Anspruchs auf ein gesetzmässig besetztes Gericht ( Art. 30 Abs. 1 BV ) im konkreten Fall darin erblickte, dass den Parteien die im Verlauf des vorinstanzlichen Verfahrens vorgenommene Änderung des Spruchkörpers nicht angekündigt worden und es den Beschwerdeführern daher nicht möglich war, die Sachlichkeit der Gründe für die Besetzungsänderung substanziiert zu bestreiten, entschied die Vorinstanz nach erfolgter Rückweisung ohne entsprechende Information der Parteien erneut über die Zuständigkeit. Dabei wurde der Spruchkörper im Vergleich zum ersten - nunmehr aufgehobenen - Zuständigkeitsentscheid erneut geändert, indem er wiederum mit denjenigen Handelsrichtern besetzt wurde, die bereits an den Entscheiden vom 12. November 2014 und 5. Dezember 2014 mitgewirkt hatten. Die Gründe dafür, weshalb am nunmehr angefochtenen Beschluss vom 8. Juni 2016 zwei andere Oberrichter als an diesen beiden Entscheidungen mitwirkten, wurde den Beschwerdeführern nicht vorgängig mitgeteilt, womit ihnen verunmöglicht wurde, die Sachlichkeit der Gründe für die erfolgte Besetzungsänderung substanziiert zu bestreiten. Entgegen der Ansicht der Beschwerdegegnerin reicht es nicht aus, dass sich die Beschwerdeführer (erstmals) im Rahmen des bundesgerichtlichen Beschwerdeverfahrens zur Änderung des Spruchkörpers äussern konnten; der Vergleich mit dem BGE 142 I 93 zugrunde liegenden Berufungsverfahren mit freier Prüfung von Tat- und Rechtsfragen ( Art. 310 ZPO ) ist nicht stichhaltig.</w:t>
      </w:r>
    </w:p>
    <w:p>
      <w:r>
        <w:t>Mit dem geschilderten Vorgehen setzte sich die Vorinstanz über die Vorgaben im bundesgerichtlichen Rückweisungsentscheid hinweg und verletzte erneut den Anspruch auf ein gesetzmässig besetztes Gericht ( Art. 30 Abs. 1 BV ). Dies führt ungeachtet der materiellen Begründetheit des Rechtsmittels zur Aufhebung des angefochtenen Beschlusses vom 8. Juni 2016 und zur Rückweisung der Sache an die Vorinstanz ( BGE 142 I 93 E. 8.3 mit Hinweisen).</w:t>
      </w:r>
    </w:p>
    <w:p>
      <w:r>
        <w:rPr>
          <w:b/>
        </w:rPr>
        <w:t>E. 3</w:t>
      </w:r>
    </w:p>
    <w:p>
      <w:r>
        <w:t>Die Beschwerde ist teilweise gutzuheissen, der angefochtene Beschluss vom 8. Juni 2016 ist aufzuheben und die Sache ist zu neuer Entscheidung an die Vorinstanz zurückzuweisen.</w:t>
      </w:r>
    </w:p>
    <w:p>
      <w:r>
        <w:t>Bei diesem Verfahrensausgang wird die Beschwerdegegnerin kosten- und entschädigungspflichtig ( Art. 66 Abs. 1 und Art. 68 Abs. 2 BGG ). Den Beschwerdeführern ist die von ihnen an die Bundesgerichtskasse bezahlte Sicherheitsleistung von Fr. 100'000.--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