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42/2022 vom 22. Februar 2022</w:t>
      </w:r>
    </w:p>
    <w:p>
      <w:r>
        <w:t>Bundesgericht, 2022-02-22, DE</w:t>
      </w:r>
    </w:p>
    <w:p>
      <w:r>
        <w:rPr>
          <w:b/>
        </w:rPr>
        <w:t xml:space="preserve">Quelle: </w:t>
      </w:r>
      <w:r>
        <w:t>https://mcp.opencaselaw.ch/entscheid/bger_4A_42_2022</w:t>
      </w:r>
    </w:p>
    <w:p>
      <w:r>
        <w:t>FR: TF 4A 42/2022 du 22 février 2022</w:t>
      </w:r>
    </w:p>
    <w:p>
      <w:r>
        <w:t>IT: TF 4A 42/2022 del 22 febbraio 2022</w:t>
      </w:r>
    </w:p>
    <w:p>
      <w:pPr>
        <w:pStyle w:val="Heading2"/>
      </w:pPr>
      <w:r>
        <w:t>Regeste</w:t>
      </w:r>
    </w:p>
    <w:p>
      <w:r>
        <w:t>Aberkennungsklage; Forderung aus Mietvertrag, | Vertragsrecht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Beschwerdeführerin moniert, die Vorinstanz begehe einen "Rechtsfehler", indem es sich für sachlich zuständig erklärt habe. Zuständig sei das "Mietgericht ( Art. 33 ZPO ) " und Mieter könnten nach Art. 35 Abs. 1 lit. b ZPO auf diesen Gerichtstand nicht zum Voraus oder durch Einlassung verzichten. Somit falle "das Mietgericht am Ort der Mietsache" unter eine ausschliessliche Sonderzuständigkeit, die unter allen Umständen von der sachlichen Zuständigkeit von Art. 6 ZPO abweiche. Streitigkeiten im Zusammenhang mit gewerblichen Mietverträgen würden damit nicht in den Zuständigkeitsbereich des Handelsgerichts fallen, denn das Mietgericht sei allein für die Entscheidung über solche Streitigkeiten zuständig.</w:t>
      </w:r>
    </w:p>
    <w:p>
      <w:r>
        <w:rPr>
          <w:b/>
        </w:rPr>
        <w:t>E. 3.2</w:t>
      </w:r>
    </w:p>
    <w:p>
      <w:r>
        <w:t>Diese Rüge ist offensichtlich unbegründet. Art. 33 ZPO regelt die örtliche Zuständigkeit bei Miete und Pacht unbeweglicher Sachen und Art. 35 Abs. 1 lit. b ZPO die diesbezügliche Verzichtsmöglichkeit des Mieters. Diese Normen regeln den Gerichtsstand, also die örtliche Zuständigkeit des Gerichts, und nicht die sachliche Zuständigkeit, wie die Beschwerdeführerin anzunehmen scheint. Aus Art. 33 ZPO oder Art. 35 ZPO kann die Beschwerdeführerin somit nichts für ihren Standpunkt ableiten. Das strittige Mietobjekt befindet sich sodann unbestrittenermassen in Zürich, womit die örtliche Zuständigkeit der Vorinstanz unzweifelhaft gegeben ist. Art. 6 ZPO regelt die sachliche Zuständigkeit des Handelsgerichts. Nach Art. 6 Abs. 2 ZPO gilt eine Streitigkeit als handelsrechtlich, wenn die geschäftliche Tätigkeit mindestens einer Partei betroffen ist (lit. a), gegen den Entscheid die Beschwerde in Zivilsachen an das Bundesgericht offen steht (lit. b) und die Parteien im schweizerischen Handelsregister oder in einem vergleichbaren ausländischen Register eingetragen sind (lit. c). Die vorliegende Klage beschlägt offensichtlich die geschäftliche Tätigkeit der Beschwerdegegnerin als Immobiliengesellschaft, deren Streitwert beträgt über Fr. 150'000.-- und beide Parteien sind im Handelsgericht eingetragen. Eine nachvollziehbare Begründung, warum die Vorinstanz für die vorliegende Streitigkeit aus einem "gewerblichen Mietvertrag" nicht zuständig sein soll, bleibt die Beschwerdeführerin schuldig.</w:t>
      </w:r>
    </w:p>
    <w:p>
      <w:r>
        <w:rPr>
          <w:b/>
        </w:rPr>
        <w:t>E. 4.1</w:t>
      </w:r>
    </w:p>
    <w:p>
      <w:r>
        <w:t>Die Beschwerdeführerin moniert, Art. 256 OR verlange vom Vermieter, dass er die Sache zum vereinbarten Zeitpunkt in einem für den zum vorausgesetzten Gebrauch tauglichen Zustand übergebe. Die Vorinstanz habe nicht geprüft, ob die Beschwerdeführerin als Mieterin die Räumlichkeiten tatsächlich genutzt habe, insbesondere ob die Schlüssel übergeben worden seien. Die Vorinstanz habe auch nicht geprüft, ob die genutzten Räumlichkeiten in einem Zustand gewesen seien, der für den vereinbarten Zweck geeignet gewesen sei. Nur die "tatsächliche Erheblichkeit der Nutzung der Immobilie" könne zur Fälligkeit der Mieten führen.</w:t>
      </w:r>
    </w:p>
    <w:p>
      <w:r>
        <w:rPr>
          <w:b/>
        </w:rPr>
        <w:t>E. 4.2</w:t>
      </w:r>
    </w:p>
    <w:p>
      <w:r>
        <w:t>Im vorinstanzlich festgestellten Sachverhalt fehlen entsprechende Feststellungen zur tatsächlichen Nutzung des Mietobjekts, zum konkreten Zustand der Räumlichkeiten und einer allfälligen Übergabe der Schlüssel. Es wäre daher an der Beschwerdeführerin, vor Bundesgericht eine Ergänzung des Sachverhalts zu verlangen und mit präzisen Aktenhinweisen darzulegen, dass sie die entsprechenden tatsächlichen Elemente bereits im vorinstanzlichen Verfahren vorgebracht hat (Erwägung 2.2). Dem kommt die Beschwerdeführerin nicht nach. Es handelt sich damit um neue tatsächliche Behauptungen, die vor Bundesgericht grundsätzlich ausgeschlossen sind ( Art. 99 Abs. 1 BGG ). Dass diese neuen Vorbringen ausnahmsweise zulässig sein sollten (dazu: BGE 143 V 19 E. 1.2), legt die Beschwerdeführerin nicht dar und ist auch nicht ersichtlich. Vielmehr hätte die Beschwerdeführerin diese tatsächlichen Vorbringen ohne Weiteres ins vorinstanzliche Verfahren einbringen können. Es fehlt damit an der Sachverhaltsbasis für die von der Beschwerdeführerin erhobenen Rechtsrügen.</w:t>
      </w:r>
    </w:p>
    <w:p>
      <w:r>
        <w:rPr>
          <w:b/>
        </w:rPr>
        <w:t>E. 5</w:t>
      </w:r>
    </w:p>
    <w:p>
      <w:r>
        <w:t>Soweit die Beschwerdeführerin im Weiteren den Entscheid der Vorinstanz kritisiert, genügt sie den Begründungsanforderungen vor Bundesgericht offensichtlich nicht. So etwa, wenn sie ohne weitere Begründung erklärt, sie rüge, dass die Vorinstanz die Gegenforderung der Beschwerdegegnerin für begründet erklärt habe.</w:t>
      </w:r>
    </w:p>
    <w:p>
      <w:r>
        <w:rPr>
          <w:b/>
        </w:rPr>
        <w:t>E. 6</w:t>
      </w:r>
    </w:p>
    <w:p>
      <w:r>
        <w:t>Die Beschwerdeführerin verlangt eine andere Verteilung der Gerichtskosten des vorinstanzlichen Verfahrens und die Zusprechung einer Parteientschädigung von Fr. 25'000.--. Sie begründet diese Anträge nicht, zumindest offensichtlich nicht hinreichend (Erwägung 2.1), sodass darauf nicht einzutreten ist. Sofern sie sinngemäss eine andere Verteilung der Kosten- und Entschädigungsfolgen für den Fall der Gutheissung ihrer Beschwerde verlangen würde, könnte ihr nicht gefolgt werden, da die Beschwerde nach dem Gesagten nicht gutzuheissen ist.</w:t>
      </w:r>
    </w:p>
    <w:p>
      <w:r>
        <w:rPr>
          <w:b/>
        </w:rPr>
        <w:t>E. 7</w:t>
      </w:r>
    </w:p>
    <w:p>
      <w:r>
        <w:t>Nach dem Ausgeführten ist die Beschwerde abzuweisen, soweit darauf überhaupt eingetreten werden kann. Bei diesem Ausgang des Verfahrens wird die Beschwerdeführerin kostenpflichtig ( Art. 66 Abs. 1 BGG ). Mit Blick auf den geringen Aufwand für den vorliegenden Entscheid wird eine reduzierte Gerichtsgebühr erhoben.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